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2DE7" w14:textId="5E82CEAC" w:rsidR="00074026" w:rsidRPr="00000849" w:rsidRDefault="00074026" w:rsidP="00074026">
      <w:pPr>
        <w:jc w:val="right"/>
        <w:rPr>
          <w:rFonts w:asciiTheme="majorHAnsi" w:hAnsiTheme="majorHAnsi" w:cstheme="majorHAnsi"/>
          <w:b/>
          <w:bCs/>
          <w:sz w:val="20"/>
          <w:szCs w:val="20"/>
        </w:rPr>
      </w:pPr>
      <w:r w:rsidRPr="00000849">
        <w:rPr>
          <w:rFonts w:asciiTheme="majorHAnsi" w:hAnsiTheme="majorHAnsi" w:cstheme="majorHAnsi"/>
          <w:b/>
          <w:bCs/>
          <w:sz w:val="20"/>
          <w:szCs w:val="20"/>
        </w:rPr>
        <w:t>Załącznik nr 2</w:t>
      </w:r>
      <w:r>
        <w:rPr>
          <w:rFonts w:asciiTheme="majorHAnsi" w:hAnsiTheme="majorHAnsi" w:cstheme="majorHAnsi"/>
          <w:b/>
          <w:bCs/>
          <w:sz w:val="20"/>
          <w:szCs w:val="20"/>
        </w:rPr>
        <w:t>e</w:t>
      </w:r>
      <w:r w:rsidRPr="00000849">
        <w:rPr>
          <w:rFonts w:asciiTheme="majorHAnsi" w:hAnsiTheme="majorHAnsi" w:cstheme="majorHAnsi"/>
          <w:b/>
          <w:bCs/>
          <w:sz w:val="20"/>
          <w:szCs w:val="20"/>
        </w:rPr>
        <w:t xml:space="preserve"> do SWZ</w:t>
      </w:r>
    </w:p>
    <w:p w14:paraId="1F5EBF9A" w14:textId="77777777" w:rsidR="00074026" w:rsidRPr="00000849" w:rsidRDefault="00074026" w:rsidP="00074026">
      <w:pPr>
        <w:spacing w:line="100" w:lineRule="atLeast"/>
        <w:jc w:val="center"/>
        <w:rPr>
          <w:rFonts w:asciiTheme="majorHAnsi" w:eastAsia="Times New Roman" w:hAnsiTheme="majorHAnsi" w:cstheme="majorHAnsi"/>
          <w:b/>
          <w:sz w:val="22"/>
        </w:rPr>
      </w:pPr>
      <w:r w:rsidRPr="00000849">
        <w:rPr>
          <w:rFonts w:asciiTheme="majorHAnsi" w:eastAsia="Times New Roman" w:hAnsiTheme="majorHAnsi" w:cstheme="majorHAnsi"/>
          <w:b/>
          <w:sz w:val="22"/>
        </w:rPr>
        <w:t>Formularz asortymentowo – cenowy</w:t>
      </w:r>
    </w:p>
    <w:p w14:paraId="10E931C4" w14:textId="77777777" w:rsidR="00074026" w:rsidRPr="003E21FF" w:rsidRDefault="00074026" w:rsidP="00074026">
      <w:pPr>
        <w:keepNext/>
        <w:spacing w:after="360"/>
        <w:jc w:val="center"/>
        <w:rPr>
          <w:rFonts w:asciiTheme="majorHAnsi" w:hAnsiTheme="majorHAnsi" w:cstheme="majorHAnsi"/>
          <w:lang w:val="pl-PL"/>
        </w:rPr>
      </w:pPr>
      <w:r w:rsidRPr="003E21FF">
        <w:rPr>
          <w:rFonts w:asciiTheme="majorHAnsi" w:eastAsia="Arial" w:hAnsiTheme="majorHAnsi" w:cstheme="majorHAnsi"/>
          <w:b/>
          <w:sz w:val="22"/>
          <w:lang w:val="pl-PL"/>
        </w:rPr>
        <w:t xml:space="preserve">Dotyczy postępowania: Sprzedaż i dostawa sprzętu na potrzeby Starostwa Powiatowego </w:t>
      </w:r>
      <w:r>
        <w:rPr>
          <w:rFonts w:asciiTheme="majorHAnsi" w:eastAsia="Arial" w:hAnsiTheme="majorHAnsi" w:cstheme="majorHAnsi"/>
          <w:b/>
          <w:sz w:val="22"/>
          <w:lang w:val="pl-PL"/>
        </w:rPr>
        <w:t xml:space="preserve">                                       </w:t>
      </w:r>
      <w:r w:rsidRPr="003E21FF">
        <w:rPr>
          <w:rFonts w:asciiTheme="majorHAnsi" w:eastAsia="Arial" w:hAnsiTheme="majorHAnsi" w:cstheme="majorHAnsi"/>
          <w:b/>
          <w:sz w:val="22"/>
          <w:lang w:val="pl-PL"/>
        </w:rPr>
        <w:t>w Skarżysku-Kamiennej w ramach realizacji projektu „Cyberbezpieczny Samorząd”</w:t>
      </w:r>
    </w:p>
    <w:p w14:paraId="5D26F63B" w14:textId="77777777" w:rsidR="00074026" w:rsidRPr="00000849" w:rsidRDefault="00074026" w:rsidP="00074026">
      <w:pPr>
        <w:spacing w:line="100" w:lineRule="atLeast"/>
        <w:jc w:val="both"/>
        <w:rPr>
          <w:rFonts w:asciiTheme="majorHAnsi" w:eastAsia="Times New Roman" w:hAnsiTheme="majorHAnsi" w:cstheme="majorHAnsi"/>
          <w:sz w:val="22"/>
          <w:lang w:val="fr-FR"/>
        </w:rPr>
      </w:pPr>
      <w:r w:rsidRPr="00000849">
        <w:rPr>
          <w:rFonts w:asciiTheme="majorHAnsi" w:eastAsia="Times New Roman" w:hAnsiTheme="majorHAnsi" w:cstheme="majorHAnsi"/>
          <w:sz w:val="22"/>
        </w:rPr>
        <w:t>Nazwa i adres Wykonawcy</w:t>
      </w:r>
    </w:p>
    <w:p w14:paraId="3AC120F5" w14:textId="77777777" w:rsidR="00074026" w:rsidRPr="00000849" w:rsidRDefault="00074026" w:rsidP="00074026">
      <w:pPr>
        <w:spacing w:before="240" w:after="240" w:line="100" w:lineRule="atLeast"/>
        <w:jc w:val="both"/>
        <w:rPr>
          <w:rFonts w:asciiTheme="majorHAnsi" w:eastAsia="Times New Roman" w:hAnsiTheme="majorHAnsi" w:cstheme="majorHAnsi"/>
          <w:sz w:val="22"/>
          <w:lang w:val="fr-FR"/>
        </w:rPr>
      </w:pPr>
      <w:r w:rsidRPr="00000849">
        <w:rPr>
          <w:rFonts w:asciiTheme="majorHAnsi" w:eastAsia="Times New Roman" w:hAnsiTheme="majorHAnsi" w:cstheme="majorHAnsi"/>
          <w:sz w:val="22"/>
          <w:lang w:val="fr-FR"/>
        </w:rPr>
        <w:t>.....................................................................................................................................................</w:t>
      </w:r>
    </w:p>
    <w:p w14:paraId="1E1A2395" w14:textId="77777777" w:rsidR="00074026" w:rsidRPr="00000849" w:rsidRDefault="00074026" w:rsidP="00074026">
      <w:pPr>
        <w:spacing w:before="240" w:after="240" w:line="100" w:lineRule="atLeast"/>
        <w:jc w:val="both"/>
        <w:rPr>
          <w:rFonts w:asciiTheme="majorHAnsi" w:eastAsia="Times New Roman" w:hAnsiTheme="majorHAnsi" w:cstheme="majorHAnsi"/>
          <w:sz w:val="22"/>
          <w:lang w:val="fr-FR"/>
        </w:rPr>
      </w:pPr>
      <w:r w:rsidRPr="00000849">
        <w:rPr>
          <w:rFonts w:asciiTheme="majorHAnsi" w:eastAsia="Times New Roman" w:hAnsiTheme="majorHAnsi" w:cstheme="majorHAnsi"/>
          <w:sz w:val="22"/>
          <w:lang w:val="fr-FR"/>
        </w:rPr>
        <w:t>.....................................................................................................................................................</w:t>
      </w:r>
    </w:p>
    <w:p w14:paraId="6BD3D707" w14:textId="77777777" w:rsidR="00074026" w:rsidRPr="00000849" w:rsidRDefault="00074026" w:rsidP="00074026">
      <w:pPr>
        <w:spacing w:before="240" w:after="240" w:line="100" w:lineRule="atLeast"/>
        <w:jc w:val="both"/>
        <w:rPr>
          <w:rFonts w:asciiTheme="majorHAnsi" w:eastAsia="Times New Roman" w:hAnsiTheme="majorHAnsi" w:cstheme="majorHAnsi"/>
          <w:sz w:val="22"/>
          <w:lang w:val="fr-FR"/>
        </w:rPr>
      </w:pPr>
      <w:r w:rsidRPr="00000849">
        <w:rPr>
          <w:rFonts w:asciiTheme="majorHAnsi" w:eastAsia="Times New Roman" w:hAnsiTheme="majorHAnsi" w:cstheme="majorHAnsi"/>
          <w:sz w:val="22"/>
          <w:lang w:val="fr-FR"/>
        </w:rPr>
        <w:t>NIP.................................................................................</w:t>
      </w:r>
    </w:p>
    <w:p w14:paraId="38ED27D2" w14:textId="77777777" w:rsidR="00074026" w:rsidRPr="00000849" w:rsidRDefault="00074026" w:rsidP="00074026">
      <w:pPr>
        <w:spacing w:before="240" w:after="240" w:line="100" w:lineRule="atLeast"/>
        <w:jc w:val="both"/>
        <w:rPr>
          <w:rFonts w:asciiTheme="majorHAnsi" w:eastAsia="Times New Roman" w:hAnsiTheme="majorHAnsi" w:cstheme="majorHAnsi"/>
          <w:sz w:val="22"/>
          <w:lang w:val="fr-FR"/>
        </w:rPr>
      </w:pPr>
      <w:r w:rsidRPr="00000849">
        <w:rPr>
          <w:rFonts w:asciiTheme="majorHAnsi" w:eastAsia="Times New Roman" w:hAnsiTheme="majorHAnsi" w:cstheme="majorHAnsi"/>
          <w:sz w:val="22"/>
          <w:lang w:val="fr-FR"/>
        </w:rPr>
        <w:t>REGON : ......................................................................</w:t>
      </w:r>
    </w:p>
    <w:p w14:paraId="7D1D7BED" w14:textId="77777777" w:rsidR="00074026" w:rsidRPr="00000849" w:rsidRDefault="00074026" w:rsidP="00074026">
      <w:pPr>
        <w:spacing w:before="240" w:after="240" w:line="100" w:lineRule="atLeast"/>
        <w:jc w:val="both"/>
        <w:rPr>
          <w:rFonts w:asciiTheme="majorHAnsi" w:eastAsia="Times New Roman" w:hAnsiTheme="majorHAnsi" w:cstheme="majorHAnsi"/>
          <w:sz w:val="22"/>
          <w:lang w:val="fr-FR"/>
        </w:rPr>
      </w:pPr>
      <w:r w:rsidRPr="00000849">
        <w:rPr>
          <w:rFonts w:asciiTheme="majorHAnsi" w:eastAsia="Times New Roman" w:hAnsiTheme="majorHAnsi" w:cstheme="majorHAnsi"/>
          <w:sz w:val="22"/>
          <w:lang w:val="fr-FR"/>
        </w:rPr>
        <w:t>Osoba do kontaktu : ......................................................</w:t>
      </w:r>
    </w:p>
    <w:p w14:paraId="6F282EBA" w14:textId="77777777" w:rsidR="00074026" w:rsidRPr="00000849" w:rsidRDefault="00074026" w:rsidP="00074026">
      <w:pPr>
        <w:tabs>
          <w:tab w:val="left" w:pos="7976"/>
        </w:tabs>
        <w:spacing w:before="240" w:line="100" w:lineRule="atLeast"/>
        <w:jc w:val="both"/>
        <w:rPr>
          <w:rFonts w:asciiTheme="majorHAnsi" w:eastAsia="Times New Roman" w:hAnsiTheme="majorHAnsi" w:cstheme="majorHAnsi"/>
          <w:sz w:val="22"/>
          <w:lang w:val="fr-FR"/>
        </w:rPr>
      </w:pPr>
      <w:r w:rsidRPr="00000849">
        <w:rPr>
          <w:rFonts w:asciiTheme="majorHAnsi" w:eastAsia="Times New Roman" w:hAnsiTheme="majorHAnsi" w:cstheme="majorHAnsi"/>
          <w:sz w:val="22"/>
          <w:lang w:val="fr-FR"/>
        </w:rPr>
        <w:t>tel...................................................................................</w:t>
      </w:r>
      <w:r w:rsidRPr="00000849">
        <w:rPr>
          <w:rFonts w:asciiTheme="majorHAnsi" w:eastAsia="Times New Roman" w:hAnsiTheme="majorHAnsi" w:cstheme="majorHAnsi"/>
          <w:sz w:val="22"/>
          <w:lang w:val="fr-FR"/>
        </w:rPr>
        <w:tab/>
      </w:r>
    </w:p>
    <w:p w14:paraId="73958AAE" w14:textId="77777777" w:rsidR="00074026" w:rsidRPr="00000849" w:rsidRDefault="00074026" w:rsidP="00074026">
      <w:pPr>
        <w:spacing w:before="240" w:line="100" w:lineRule="atLeast"/>
        <w:jc w:val="both"/>
        <w:rPr>
          <w:rFonts w:asciiTheme="majorHAnsi" w:hAnsiTheme="majorHAnsi" w:cstheme="majorHAnsi"/>
          <w:b/>
          <w:sz w:val="22"/>
          <w:u w:val="single"/>
        </w:rPr>
      </w:pPr>
      <w:r w:rsidRPr="00000849">
        <w:rPr>
          <w:rFonts w:asciiTheme="majorHAnsi" w:eastAsia="Times New Roman" w:hAnsiTheme="majorHAnsi" w:cstheme="majorHAnsi"/>
          <w:sz w:val="22"/>
          <w:lang w:val="fr-FR"/>
        </w:rPr>
        <w:t>e-mail ............................................................................</w:t>
      </w:r>
    </w:p>
    <w:p w14:paraId="4AF631D1" w14:textId="77777777" w:rsidR="00074026" w:rsidRPr="00000849" w:rsidRDefault="00074026" w:rsidP="00074026">
      <w:pPr>
        <w:pStyle w:val="NormalnyWeb1"/>
        <w:spacing w:after="0"/>
        <w:jc w:val="both"/>
        <w:rPr>
          <w:rFonts w:asciiTheme="majorHAnsi" w:hAnsiTheme="majorHAnsi" w:cstheme="majorHAnsi"/>
          <w:sz w:val="22"/>
          <w:szCs w:val="22"/>
        </w:rPr>
      </w:pPr>
      <w:r w:rsidRPr="00000849">
        <w:rPr>
          <w:rFonts w:asciiTheme="majorHAnsi" w:hAnsiTheme="majorHAnsi" w:cstheme="majorHAnsi"/>
          <w:b/>
          <w:sz w:val="22"/>
          <w:szCs w:val="22"/>
          <w:u w:val="single"/>
        </w:rPr>
        <w:t xml:space="preserve">W nawiązaniu do ogłoszenia Powiatu Skarżyskiego o zamówieniu oraz Specyfikacji Warunków zamówienia oferuję wykonanie przedmiotu zamówienia </w:t>
      </w:r>
    </w:p>
    <w:p w14:paraId="1F5472BA" w14:textId="77777777" w:rsidR="00E13D86" w:rsidRPr="003E21FF" w:rsidRDefault="00E13D86" w:rsidP="00E13D86">
      <w:pPr>
        <w:rPr>
          <w:rFonts w:asciiTheme="majorHAnsi" w:hAnsiTheme="majorHAnsi" w:cstheme="majorHAnsi"/>
          <w:lang w:val="pl-PL"/>
        </w:rPr>
      </w:pPr>
    </w:p>
    <w:p w14:paraId="05C21DA5" w14:textId="6DAA7274" w:rsidR="009968CC" w:rsidRPr="003E21FF" w:rsidRDefault="00417439" w:rsidP="00E13D86">
      <w:pPr>
        <w:jc w:val="both"/>
        <w:rPr>
          <w:rFonts w:asciiTheme="majorHAnsi" w:hAnsiTheme="majorHAnsi" w:cstheme="majorHAnsi"/>
          <w:b/>
          <w:lang w:val="pl-PL"/>
        </w:rPr>
      </w:pPr>
      <w:r w:rsidRPr="003E21FF">
        <w:rPr>
          <w:rFonts w:asciiTheme="majorHAnsi" w:hAnsiTheme="majorHAnsi" w:cstheme="majorHAnsi"/>
          <w:b/>
          <w:lang w:val="pl-PL"/>
        </w:rPr>
        <w:t>Zadanie 5: Dostawa serwerów w ramach projektu „Cyberbezpieczny Samorząd” dla Starostwa Powiatowego w Skarżysku-Kamiennej</w:t>
      </w:r>
    </w:p>
    <w:p w14:paraId="314B6A8B" w14:textId="77777777" w:rsidR="00074026" w:rsidRDefault="00074026">
      <w:pPr>
        <w:keepNext/>
        <w:spacing w:after="140"/>
        <w:rPr>
          <w:rFonts w:asciiTheme="majorHAnsi" w:eastAsia="Arial" w:hAnsiTheme="majorHAnsi" w:cstheme="majorHAnsi"/>
          <w:b/>
          <w:lang w:val="pl-PL"/>
        </w:rPr>
      </w:pPr>
    </w:p>
    <w:p w14:paraId="7C9005BB" w14:textId="5B3F9531" w:rsidR="009968CC" w:rsidRPr="003E21FF" w:rsidRDefault="00417439">
      <w:pPr>
        <w:keepNext/>
        <w:spacing w:after="140"/>
        <w:rPr>
          <w:rFonts w:asciiTheme="majorHAnsi" w:hAnsiTheme="majorHAnsi" w:cstheme="majorHAnsi"/>
          <w:lang w:val="pl-PL"/>
        </w:rPr>
      </w:pPr>
      <w:r w:rsidRPr="003E21FF">
        <w:rPr>
          <w:rFonts w:asciiTheme="majorHAnsi" w:eastAsia="Arial" w:hAnsiTheme="majorHAnsi" w:cstheme="majorHAnsi"/>
          <w:b/>
          <w:lang w:val="pl-PL"/>
        </w:rPr>
        <w:t xml:space="preserve">Ilość: </w:t>
      </w:r>
      <w:r w:rsidRPr="003E21FF">
        <w:rPr>
          <w:rFonts w:asciiTheme="majorHAnsi" w:eastAsia="Arial" w:hAnsiTheme="majorHAnsi" w:cstheme="majorHAnsi"/>
          <w:lang w:val="pl-PL"/>
        </w:rPr>
        <w:t>3 sztuki</w:t>
      </w:r>
    </w:p>
    <w:tbl>
      <w:tblPr>
        <w:tblW w:w="10078" w:type="dxa"/>
        <w:tblInd w:w="120" w:type="dxa"/>
        <w:tblBorders>
          <w:top w:val="single" w:sz="6" w:space="0" w:color="555555"/>
          <w:left w:val="single" w:sz="6" w:space="0" w:color="555555"/>
          <w:bottom w:val="single" w:sz="6" w:space="0" w:color="555555"/>
          <w:right w:val="single" w:sz="6" w:space="0" w:color="555555"/>
          <w:insideH w:val="single" w:sz="6" w:space="0" w:color="555555"/>
          <w:insideV w:val="single" w:sz="6" w:space="0" w:color="555555"/>
        </w:tblBorders>
        <w:tblLayout w:type="fixed"/>
        <w:tblLook w:val="04A0" w:firstRow="1" w:lastRow="0" w:firstColumn="1" w:lastColumn="0" w:noHBand="0" w:noVBand="1"/>
      </w:tblPr>
      <w:tblGrid>
        <w:gridCol w:w="2282"/>
        <w:gridCol w:w="4111"/>
        <w:gridCol w:w="3685"/>
      </w:tblGrid>
      <w:tr w:rsidR="00074026" w:rsidRPr="003E21FF" w14:paraId="3B2631B7" w14:textId="00DF2FD5" w:rsidTr="00997D2B">
        <w:trPr>
          <w:cantSplit/>
          <w:tblHeader/>
        </w:trPr>
        <w:tc>
          <w:tcPr>
            <w:tcW w:w="2282" w:type="dxa"/>
            <w:shd w:val="clear" w:color="auto" w:fill="F2F4F7"/>
            <w:tcMar>
              <w:top w:w="80" w:type="dxa"/>
              <w:left w:w="120" w:type="dxa"/>
              <w:bottom w:w="80" w:type="dxa"/>
              <w:right w:w="120" w:type="dxa"/>
            </w:tcMar>
            <w:vAlign w:val="center"/>
          </w:tcPr>
          <w:p w14:paraId="3C38D50A" w14:textId="77777777" w:rsidR="00074026" w:rsidRPr="003E21FF" w:rsidRDefault="00074026">
            <w:pPr>
              <w:spacing w:after="0" w:line="252" w:lineRule="auto"/>
              <w:jc w:val="center"/>
              <w:rPr>
                <w:rFonts w:asciiTheme="majorHAnsi" w:hAnsiTheme="majorHAnsi" w:cstheme="majorHAnsi"/>
                <w:lang w:val="pl-PL"/>
              </w:rPr>
            </w:pPr>
            <w:r w:rsidRPr="003E21FF">
              <w:rPr>
                <w:rFonts w:asciiTheme="majorHAnsi" w:eastAsia="Arial" w:hAnsiTheme="majorHAnsi" w:cstheme="majorHAnsi"/>
                <w:b/>
                <w:sz w:val="19"/>
                <w:lang w:val="pl-PL"/>
              </w:rPr>
              <w:t>Parametr</w:t>
            </w:r>
          </w:p>
        </w:tc>
        <w:tc>
          <w:tcPr>
            <w:tcW w:w="4111" w:type="dxa"/>
            <w:shd w:val="clear" w:color="auto" w:fill="F2F4F7"/>
            <w:tcMar>
              <w:top w:w="80" w:type="dxa"/>
              <w:left w:w="120" w:type="dxa"/>
              <w:bottom w:w="80" w:type="dxa"/>
              <w:right w:w="120" w:type="dxa"/>
            </w:tcMar>
            <w:vAlign w:val="center"/>
          </w:tcPr>
          <w:p w14:paraId="6B51C602" w14:textId="77777777" w:rsidR="00074026" w:rsidRPr="003E21FF" w:rsidRDefault="00074026">
            <w:pPr>
              <w:spacing w:after="0" w:line="252" w:lineRule="auto"/>
              <w:jc w:val="center"/>
              <w:rPr>
                <w:rFonts w:asciiTheme="majorHAnsi" w:hAnsiTheme="majorHAnsi" w:cstheme="majorHAnsi"/>
                <w:lang w:val="pl-PL"/>
              </w:rPr>
            </w:pPr>
            <w:r w:rsidRPr="003E21FF">
              <w:rPr>
                <w:rFonts w:asciiTheme="majorHAnsi" w:eastAsia="Arial" w:hAnsiTheme="majorHAnsi" w:cstheme="majorHAnsi"/>
                <w:b/>
                <w:sz w:val="19"/>
                <w:lang w:val="pl-PL"/>
              </w:rPr>
              <w:t>Charakterystyka (wymagania minimalne)</w:t>
            </w:r>
          </w:p>
        </w:tc>
        <w:tc>
          <w:tcPr>
            <w:tcW w:w="3685" w:type="dxa"/>
            <w:shd w:val="clear" w:color="auto" w:fill="F2F4F7"/>
          </w:tcPr>
          <w:p w14:paraId="69F86D57" w14:textId="77777777" w:rsidR="00074026" w:rsidRPr="005435E2" w:rsidRDefault="00074026" w:rsidP="00074026">
            <w:pPr>
              <w:pStyle w:val="Bezodstpw"/>
              <w:jc w:val="center"/>
              <w:rPr>
                <w:rFonts w:asciiTheme="majorHAnsi" w:hAnsiTheme="majorHAnsi" w:cstheme="majorHAnsi"/>
                <w:b/>
                <w:sz w:val="18"/>
                <w:szCs w:val="18"/>
              </w:rPr>
            </w:pPr>
            <w:r w:rsidRPr="005435E2">
              <w:rPr>
                <w:rFonts w:asciiTheme="majorHAnsi" w:eastAsia="Calibri" w:hAnsiTheme="majorHAnsi" w:cstheme="majorHAnsi"/>
                <w:b/>
                <w:sz w:val="18"/>
                <w:szCs w:val="18"/>
              </w:rPr>
              <w:t>Nazwa i Opis</w:t>
            </w:r>
          </w:p>
          <w:p w14:paraId="7A879B76" w14:textId="77777777" w:rsidR="00074026" w:rsidRPr="005435E2" w:rsidRDefault="00074026" w:rsidP="00074026">
            <w:pPr>
              <w:pStyle w:val="Bezodstpw"/>
              <w:jc w:val="center"/>
              <w:rPr>
                <w:rFonts w:asciiTheme="majorHAnsi" w:eastAsia="Calibri" w:hAnsiTheme="majorHAnsi" w:cstheme="majorHAnsi"/>
                <w:b/>
                <w:bCs/>
                <w:sz w:val="18"/>
                <w:szCs w:val="18"/>
                <w:lang w:val="en-GB"/>
              </w:rPr>
            </w:pPr>
            <w:r w:rsidRPr="005435E2">
              <w:rPr>
                <w:rFonts w:asciiTheme="majorHAnsi" w:eastAsia="Calibri" w:hAnsiTheme="majorHAnsi" w:cstheme="majorHAnsi"/>
                <w:b/>
                <w:sz w:val="18"/>
                <w:szCs w:val="18"/>
              </w:rPr>
              <w:t>oferowanego parametru</w:t>
            </w:r>
          </w:p>
          <w:p w14:paraId="0D3A9C94" w14:textId="3F63FD8C" w:rsidR="00074026" w:rsidRPr="003E21FF" w:rsidRDefault="00074026" w:rsidP="00074026">
            <w:pPr>
              <w:spacing w:after="0" w:line="252" w:lineRule="auto"/>
              <w:jc w:val="center"/>
              <w:rPr>
                <w:rFonts w:asciiTheme="majorHAnsi" w:eastAsia="Arial" w:hAnsiTheme="majorHAnsi" w:cstheme="majorHAnsi"/>
                <w:b/>
                <w:sz w:val="19"/>
                <w:lang w:val="pl-PL"/>
              </w:rPr>
            </w:pPr>
            <w:r w:rsidRPr="005435E2">
              <w:rPr>
                <w:rFonts w:asciiTheme="majorHAnsi" w:hAnsiTheme="majorHAnsi" w:cstheme="majorHAnsi"/>
                <w:b/>
                <w:bCs/>
                <w:sz w:val="18"/>
                <w:szCs w:val="18"/>
                <w:lang w:val="en-GB"/>
              </w:rPr>
              <w:t>(proszę wpisać specyfikację oferowanego przedmiotu</w:t>
            </w:r>
          </w:p>
        </w:tc>
      </w:tr>
      <w:tr w:rsidR="00074026" w:rsidRPr="002701F8" w14:paraId="0075C950" w14:textId="1C9594F6" w:rsidTr="00997D2B">
        <w:trPr>
          <w:cantSplit/>
        </w:trPr>
        <w:tc>
          <w:tcPr>
            <w:tcW w:w="2282" w:type="dxa"/>
            <w:tcMar>
              <w:top w:w="80" w:type="dxa"/>
              <w:left w:w="120" w:type="dxa"/>
              <w:bottom w:w="80" w:type="dxa"/>
              <w:right w:w="120" w:type="dxa"/>
            </w:tcMar>
            <w:vAlign w:val="center"/>
          </w:tcPr>
          <w:p w14:paraId="434DFE0A"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Typ, liczba i zastosowanie</w:t>
            </w:r>
          </w:p>
        </w:tc>
        <w:tc>
          <w:tcPr>
            <w:tcW w:w="4111" w:type="dxa"/>
            <w:tcMar>
              <w:top w:w="80" w:type="dxa"/>
              <w:left w:w="120" w:type="dxa"/>
              <w:bottom w:w="80" w:type="dxa"/>
              <w:right w:w="120" w:type="dxa"/>
            </w:tcMar>
            <w:vAlign w:val="center"/>
          </w:tcPr>
          <w:p w14:paraId="2217A731" w14:textId="77777777" w:rsidR="00074026" w:rsidRPr="003E21FF" w:rsidRDefault="00074026" w:rsidP="00E13D86">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Dostawa 3 fabrycznie nowych, nieużywanych serwerów, pochodzących z bieżącej oferty producenta. Serwery przeznaczone do pracy ciągłej 24 godziny na dobę, 7 dni w tygodniu, w środowisku centrum danych, w szczególności do wirtualizacji oraz obsługi pamięci masowej w oparciu o system Linux i Proxmox VE. Wszystkie wymagania opisane w niniejszej tabeli dotyczą każdego z 3 dostarczanych serwerów.</w:t>
            </w:r>
          </w:p>
        </w:tc>
        <w:tc>
          <w:tcPr>
            <w:tcW w:w="3685" w:type="dxa"/>
          </w:tcPr>
          <w:p w14:paraId="31807361" w14:textId="77777777" w:rsidR="00074026" w:rsidRPr="003E21FF" w:rsidRDefault="00074026" w:rsidP="00E13D86">
            <w:pPr>
              <w:spacing w:after="0" w:line="252" w:lineRule="auto"/>
              <w:jc w:val="both"/>
              <w:rPr>
                <w:rFonts w:asciiTheme="majorHAnsi" w:eastAsia="Arial" w:hAnsiTheme="majorHAnsi" w:cstheme="majorHAnsi"/>
                <w:sz w:val="18"/>
                <w:lang w:val="pl-PL"/>
              </w:rPr>
            </w:pPr>
          </w:p>
        </w:tc>
      </w:tr>
      <w:tr w:rsidR="00074026" w:rsidRPr="002701F8" w14:paraId="251DE1F5" w14:textId="27D70F71" w:rsidTr="00997D2B">
        <w:trPr>
          <w:cantSplit/>
        </w:trPr>
        <w:tc>
          <w:tcPr>
            <w:tcW w:w="2282" w:type="dxa"/>
            <w:tcMar>
              <w:top w:w="80" w:type="dxa"/>
              <w:left w:w="120" w:type="dxa"/>
              <w:bottom w:w="80" w:type="dxa"/>
              <w:right w:w="120" w:type="dxa"/>
            </w:tcMar>
            <w:vAlign w:val="center"/>
          </w:tcPr>
          <w:p w14:paraId="41B8B29E"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Obudowa</w:t>
            </w:r>
          </w:p>
        </w:tc>
        <w:tc>
          <w:tcPr>
            <w:tcW w:w="4111" w:type="dxa"/>
            <w:tcMar>
              <w:top w:w="80" w:type="dxa"/>
              <w:left w:w="120" w:type="dxa"/>
              <w:bottom w:w="80" w:type="dxa"/>
              <w:right w:w="120" w:type="dxa"/>
            </w:tcMar>
            <w:vAlign w:val="center"/>
          </w:tcPr>
          <w:p w14:paraId="65A925D9" w14:textId="77777777" w:rsidR="00074026" w:rsidRPr="003E21FF" w:rsidRDefault="00074026" w:rsidP="003E21FF">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Obudowa rack 19 cali o wysokości nie większej niż 2U. Obudowa wyposażona w co najmniej 12 przednich zatok na dyski 3,5 cala LFF SAS/SATA Hot-Plug; wszystkie 12 zatok musi być obsadzonych wymaganymi dyskami. W komplecie wysuwane szyny montażowe, umożliwiające bezpieczną instalację i obsługę serwera w szafie rack 19 cali. Konstrukcja serwera, płyta główna, system chłodzenia i obudowa muszą pochodzić od jednego producenta i być objęte wspólną gwarancją producenta.</w:t>
            </w:r>
          </w:p>
        </w:tc>
        <w:tc>
          <w:tcPr>
            <w:tcW w:w="3685" w:type="dxa"/>
          </w:tcPr>
          <w:p w14:paraId="007830EB" w14:textId="77777777" w:rsidR="00074026" w:rsidRPr="003E21FF" w:rsidRDefault="00074026" w:rsidP="003E21FF">
            <w:pPr>
              <w:spacing w:after="0" w:line="252" w:lineRule="auto"/>
              <w:jc w:val="both"/>
              <w:rPr>
                <w:rFonts w:asciiTheme="majorHAnsi" w:eastAsia="Arial" w:hAnsiTheme="majorHAnsi" w:cstheme="majorHAnsi"/>
                <w:sz w:val="18"/>
                <w:lang w:val="pl-PL"/>
              </w:rPr>
            </w:pPr>
          </w:p>
        </w:tc>
      </w:tr>
      <w:tr w:rsidR="00074026" w:rsidRPr="002701F8" w14:paraId="39811B6F" w14:textId="1DF94E73" w:rsidTr="00997D2B">
        <w:trPr>
          <w:cantSplit/>
        </w:trPr>
        <w:tc>
          <w:tcPr>
            <w:tcW w:w="2282" w:type="dxa"/>
            <w:tcMar>
              <w:top w:w="80" w:type="dxa"/>
              <w:left w:w="120" w:type="dxa"/>
              <w:bottom w:w="80" w:type="dxa"/>
              <w:right w:w="120" w:type="dxa"/>
            </w:tcMar>
            <w:vAlign w:val="center"/>
          </w:tcPr>
          <w:p w14:paraId="06722B9B"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lastRenderedPageBreak/>
              <w:t>Procesory</w:t>
            </w:r>
          </w:p>
        </w:tc>
        <w:tc>
          <w:tcPr>
            <w:tcW w:w="4111" w:type="dxa"/>
            <w:tcMar>
              <w:top w:w="80" w:type="dxa"/>
              <w:left w:w="120" w:type="dxa"/>
              <w:bottom w:w="80" w:type="dxa"/>
              <w:right w:w="120" w:type="dxa"/>
            </w:tcMar>
            <w:vAlign w:val="center"/>
          </w:tcPr>
          <w:p w14:paraId="64FF843E" w14:textId="77777777" w:rsidR="00074026" w:rsidRPr="003E21FF" w:rsidRDefault="00074026" w:rsidP="00266F5D">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Zainstalowane 2 jednakowe procesory x86-64 klasy serwerowej, przeznaczone do pracy w systemach dwuprocesorowych. Każdy procesor: minimum 16 rdzeni fizycznych i 32 wątki; łącznie na serwer minimum 32 rdzenie fizyczne i 64 wątki. Taktowanie bazowe każdego procesora minimum 2,5 GHz. Obsługa pamięci DDR5 ECC o efektywnej szybkości co najmniej 5200 MT/s, sprzętowej wirtualizacji procesora i urządzeń wejścia/wyjścia (IOMMU) oraz sprzętowych instrukcji szyfrowania. Każdy zaoferowany procesor musi osiągać wynik Average CPU Mark co najmniej 40 000 punktów oraz Single Thread Rating co najmniej 2 800 punktów w zestawieniu PassMark CPU Benchmarks dostępnym na stronie www.cpubenchmark.net. Wyniki będą oceniane według danych opublikowanych nie później niż w dniu składania ofert.</w:t>
            </w:r>
          </w:p>
        </w:tc>
        <w:tc>
          <w:tcPr>
            <w:tcW w:w="3685" w:type="dxa"/>
          </w:tcPr>
          <w:p w14:paraId="00434DEA" w14:textId="77777777" w:rsidR="00074026" w:rsidRPr="003E21FF" w:rsidRDefault="00074026" w:rsidP="00266F5D">
            <w:pPr>
              <w:spacing w:after="0" w:line="252" w:lineRule="auto"/>
              <w:jc w:val="both"/>
              <w:rPr>
                <w:rFonts w:asciiTheme="majorHAnsi" w:eastAsia="Arial" w:hAnsiTheme="majorHAnsi" w:cstheme="majorHAnsi"/>
                <w:sz w:val="18"/>
                <w:lang w:val="pl-PL"/>
              </w:rPr>
            </w:pPr>
          </w:p>
        </w:tc>
      </w:tr>
      <w:tr w:rsidR="00074026" w:rsidRPr="002701F8" w14:paraId="489B35BB" w14:textId="3110ACDA" w:rsidTr="00997D2B">
        <w:trPr>
          <w:cantSplit/>
        </w:trPr>
        <w:tc>
          <w:tcPr>
            <w:tcW w:w="2282" w:type="dxa"/>
            <w:tcMar>
              <w:top w:w="80" w:type="dxa"/>
              <w:left w:w="120" w:type="dxa"/>
              <w:bottom w:w="80" w:type="dxa"/>
              <w:right w:w="120" w:type="dxa"/>
            </w:tcMar>
            <w:vAlign w:val="center"/>
          </w:tcPr>
          <w:p w14:paraId="29065428"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Platforma serwerowa</w:t>
            </w:r>
          </w:p>
        </w:tc>
        <w:tc>
          <w:tcPr>
            <w:tcW w:w="4111" w:type="dxa"/>
            <w:tcMar>
              <w:top w:w="80" w:type="dxa"/>
              <w:left w:w="120" w:type="dxa"/>
              <w:bottom w:w="80" w:type="dxa"/>
              <w:right w:w="120" w:type="dxa"/>
            </w:tcMar>
            <w:vAlign w:val="center"/>
          </w:tcPr>
          <w:p w14:paraId="72D74C68" w14:textId="77777777" w:rsidR="00074026" w:rsidRPr="003E21FF" w:rsidRDefault="00074026" w:rsidP="00266F5D">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Płyta główna klasy serwerowej, zaprojektowana przez producenta oferowanego serwera i obsługująca oba zainstalowane procesory. Obsługa pamięci DDR5 ECC RDIMM, magistrali PCI Express 5.0 oraz co najmniej 16 gniazd DIMM łącznie. Architektura umożliwiająca dalszą rozbudowę pamięci operacyjnej i kart rozszerzeń bez wymiany płyty głównej.</w:t>
            </w:r>
          </w:p>
        </w:tc>
        <w:tc>
          <w:tcPr>
            <w:tcW w:w="3685" w:type="dxa"/>
          </w:tcPr>
          <w:p w14:paraId="67C3EC6E" w14:textId="77777777" w:rsidR="00074026" w:rsidRPr="003E21FF" w:rsidRDefault="00074026" w:rsidP="00266F5D">
            <w:pPr>
              <w:spacing w:after="0" w:line="252" w:lineRule="auto"/>
              <w:jc w:val="both"/>
              <w:rPr>
                <w:rFonts w:asciiTheme="majorHAnsi" w:eastAsia="Arial" w:hAnsiTheme="majorHAnsi" w:cstheme="majorHAnsi"/>
                <w:sz w:val="18"/>
                <w:lang w:val="pl-PL"/>
              </w:rPr>
            </w:pPr>
          </w:p>
        </w:tc>
      </w:tr>
      <w:tr w:rsidR="00074026" w:rsidRPr="002701F8" w14:paraId="1624298E" w14:textId="625219E4" w:rsidTr="00997D2B">
        <w:trPr>
          <w:cantSplit/>
        </w:trPr>
        <w:tc>
          <w:tcPr>
            <w:tcW w:w="2282" w:type="dxa"/>
            <w:tcMar>
              <w:top w:w="80" w:type="dxa"/>
              <w:left w:w="120" w:type="dxa"/>
              <w:bottom w:w="80" w:type="dxa"/>
              <w:right w:w="120" w:type="dxa"/>
            </w:tcMar>
            <w:vAlign w:val="center"/>
          </w:tcPr>
          <w:p w14:paraId="05691BD5"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Pamięć RAM</w:t>
            </w:r>
          </w:p>
        </w:tc>
        <w:tc>
          <w:tcPr>
            <w:tcW w:w="4111" w:type="dxa"/>
            <w:tcMar>
              <w:top w:w="80" w:type="dxa"/>
              <w:left w:w="120" w:type="dxa"/>
              <w:bottom w:w="80" w:type="dxa"/>
              <w:right w:w="120" w:type="dxa"/>
            </w:tcMar>
            <w:vAlign w:val="center"/>
          </w:tcPr>
          <w:p w14:paraId="2C5D6623" w14:textId="77777777" w:rsidR="00074026" w:rsidRPr="003E21FF" w:rsidRDefault="00074026" w:rsidP="00266F5D">
            <w:pPr>
              <w:spacing w:after="0" w:line="252" w:lineRule="auto"/>
              <w:jc w:val="both"/>
              <w:rPr>
                <w:rFonts w:asciiTheme="majorHAnsi" w:hAnsiTheme="majorHAnsi" w:cstheme="majorHAnsi"/>
                <w:lang w:val="pl-PL"/>
              </w:rPr>
            </w:pPr>
            <w:r w:rsidRPr="00266F5D">
              <w:rPr>
                <w:rFonts w:asciiTheme="majorHAnsi" w:eastAsia="Arial" w:hAnsiTheme="majorHAnsi" w:cstheme="majorHAnsi"/>
                <w:sz w:val="18"/>
                <w:lang w:val="pl-PL"/>
              </w:rPr>
              <w:t>Zainstalowane minimum 128 GB pamięci RAM DDR5 ECC RDIMM, w modułach o pojemności co najmniej 16 GB każdy, równomiernie rozłożonych pomiędzy oba zainstalowane procesory.</w:t>
            </w:r>
            <w:r>
              <w:rPr>
                <w:rFonts w:asciiTheme="majorHAnsi" w:eastAsia="Arial" w:hAnsiTheme="majorHAnsi" w:cstheme="majorHAnsi"/>
                <w:sz w:val="18"/>
                <w:lang w:val="pl-PL"/>
              </w:rPr>
              <w:t xml:space="preserve"> </w:t>
            </w:r>
            <w:r w:rsidRPr="003E21FF">
              <w:rPr>
                <w:rFonts w:asciiTheme="majorHAnsi" w:eastAsia="Arial" w:hAnsiTheme="majorHAnsi" w:cstheme="majorHAnsi"/>
                <w:sz w:val="18"/>
                <w:lang w:val="pl-PL"/>
              </w:rPr>
              <w:t>Moduły o nominalnej szybkości minimum 5600 MT/s; dopuszcza się pracę z maksymalną szybkością obsługiwaną przez zaoferowane procesory, jednak nie mniejszą niż 5200 MT/s. Wszystkie moduły identyczne i znajdujące się na liście kompatybilności producenta serwera.</w:t>
            </w:r>
          </w:p>
        </w:tc>
        <w:tc>
          <w:tcPr>
            <w:tcW w:w="3685" w:type="dxa"/>
          </w:tcPr>
          <w:p w14:paraId="02B8292E" w14:textId="77777777" w:rsidR="00074026" w:rsidRPr="00266F5D" w:rsidRDefault="00074026" w:rsidP="00266F5D">
            <w:pPr>
              <w:spacing w:after="0" w:line="252" w:lineRule="auto"/>
              <w:jc w:val="both"/>
              <w:rPr>
                <w:rFonts w:asciiTheme="majorHAnsi" w:eastAsia="Arial" w:hAnsiTheme="majorHAnsi" w:cstheme="majorHAnsi"/>
                <w:sz w:val="18"/>
                <w:lang w:val="pl-PL"/>
              </w:rPr>
            </w:pPr>
          </w:p>
        </w:tc>
      </w:tr>
      <w:tr w:rsidR="00074026" w:rsidRPr="003E21FF" w14:paraId="75F7747B" w14:textId="6E108C05" w:rsidTr="00997D2B">
        <w:trPr>
          <w:cantSplit/>
        </w:trPr>
        <w:tc>
          <w:tcPr>
            <w:tcW w:w="2282" w:type="dxa"/>
            <w:tcMar>
              <w:top w:w="80" w:type="dxa"/>
              <w:left w:w="120" w:type="dxa"/>
              <w:bottom w:w="80" w:type="dxa"/>
              <w:right w:w="120" w:type="dxa"/>
            </w:tcMar>
            <w:vAlign w:val="center"/>
          </w:tcPr>
          <w:p w14:paraId="045AE217"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Dyski twarde</w:t>
            </w:r>
          </w:p>
        </w:tc>
        <w:tc>
          <w:tcPr>
            <w:tcW w:w="4111" w:type="dxa"/>
            <w:tcMar>
              <w:top w:w="80" w:type="dxa"/>
              <w:left w:w="120" w:type="dxa"/>
              <w:bottom w:w="80" w:type="dxa"/>
              <w:right w:w="120" w:type="dxa"/>
            </w:tcMar>
            <w:vAlign w:val="center"/>
          </w:tcPr>
          <w:p w14:paraId="2DA033FE" w14:textId="77777777" w:rsidR="00074026" w:rsidRPr="003E21FF" w:rsidRDefault="00074026" w:rsidP="00CD5B7F">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Zainstalowane 12 dysków HDD o pojemności minimum 8 TB każdy, format 3,5 cala LFF, interfejs SATA 6 Gb/s, prędkość obrotowa 7200 obr./min oraz obsługa Hot-Plug. Dyski klasy serwerowej, przeznaczone do pracy ciągłej, dostarczone w oryginalnych kieszeniach producenta serwera i zgodne z jego listą kompatybilności. Minimalna łączna surowa pojemność dysków: 96 TB na jeden serwer.</w:t>
            </w:r>
          </w:p>
        </w:tc>
        <w:tc>
          <w:tcPr>
            <w:tcW w:w="3685" w:type="dxa"/>
          </w:tcPr>
          <w:p w14:paraId="0BD89282" w14:textId="77777777" w:rsidR="00074026" w:rsidRPr="003E21FF" w:rsidRDefault="00074026" w:rsidP="00CD5B7F">
            <w:pPr>
              <w:spacing w:after="0" w:line="252" w:lineRule="auto"/>
              <w:jc w:val="both"/>
              <w:rPr>
                <w:rFonts w:asciiTheme="majorHAnsi" w:eastAsia="Arial" w:hAnsiTheme="majorHAnsi" w:cstheme="majorHAnsi"/>
                <w:sz w:val="18"/>
                <w:lang w:val="pl-PL"/>
              </w:rPr>
            </w:pPr>
          </w:p>
        </w:tc>
      </w:tr>
      <w:tr w:rsidR="00074026" w:rsidRPr="003E21FF" w14:paraId="1FB5122A" w14:textId="0E7944FE" w:rsidTr="00997D2B">
        <w:trPr>
          <w:cantSplit/>
        </w:trPr>
        <w:tc>
          <w:tcPr>
            <w:tcW w:w="2282" w:type="dxa"/>
            <w:tcMar>
              <w:top w:w="80" w:type="dxa"/>
              <w:left w:w="120" w:type="dxa"/>
              <w:bottom w:w="80" w:type="dxa"/>
              <w:right w:w="120" w:type="dxa"/>
            </w:tcMar>
            <w:vAlign w:val="center"/>
          </w:tcPr>
          <w:p w14:paraId="313C9163"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lastRenderedPageBreak/>
              <w:t>Kontroler dyskowy</w:t>
            </w:r>
          </w:p>
        </w:tc>
        <w:tc>
          <w:tcPr>
            <w:tcW w:w="4111" w:type="dxa"/>
            <w:tcMar>
              <w:top w:w="80" w:type="dxa"/>
              <w:left w:w="120" w:type="dxa"/>
              <w:bottom w:w="80" w:type="dxa"/>
              <w:right w:w="120" w:type="dxa"/>
            </w:tcMar>
            <w:vAlign w:val="center"/>
          </w:tcPr>
          <w:p w14:paraId="7BA262CB" w14:textId="77777777" w:rsidR="00074026" w:rsidRPr="003E21FF" w:rsidRDefault="00074026" w:rsidP="00507717">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Sprzętowy kontroler dyskowy obsługujący co najmniej 16 wewnętrznych urządzeń, dyski SAS 12 Gb/s i SATA 6 Gb/s oraz zatoki Hot-Plug. Obsługa poziomów RAID co najmniej 0, 1 i 10 oraz jednoczesnego trybu mieszanego RAID/JBOD. Możliwość udostępnienia każdego dysku fizycznego bezpośrednio systemowi operacyjnemu w trybie Non-RAID/JBOD/pass-through, bez tworzenia osobnego woluminu RAID 0 dla każdego dysku, w celu wykorzystania przez ZFS. Kontroler zgodny z oferowanym serwerem, objęty jego gwarancją i wyposażony w mechanizm weryfikacji integralności podpisanego oprogramowania układowego. Pamięć cache kontrolera nie jest wymagana.</w:t>
            </w:r>
          </w:p>
        </w:tc>
        <w:tc>
          <w:tcPr>
            <w:tcW w:w="3685" w:type="dxa"/>
          </w:tcPr>
          <w:p w14:paraId="5D588DDA" w14:textId="77777777" w:rsidR="00074026" w:rsidRPr="003E21FF" w:rsidRDefault="00074026" w:rsidP="00507717">
            <w:pPr>
              <w:spacing w:after="0" w:line="252" w:lineRule="auto"/>
              <w:jc w:val="both"/>
              <w:rPr>
                <w:rFonts w:asciiTheme="majorHAnsi" w:eastAsia="Arial" w:hAnsiTheme="majorHAnsi" w:cstheme="majorHAnsi"/>
                <w:sz w:val="18"/>
                <w:lang w:val="pl-PL"/>
              </w:rPr>
            </w:pPr>
          </w:p>
        </w:tc>
      </w:tr>
      <w:tr w:rsidR="00074026" w:rsidRPr="002701F8" w14:paraId="22C9162F" w14:textId="2946CC46" w:rsidTr="00997D2B">
        <w:trPr>
          <w:cantSplit/>
        </w:trPr>
        <w:tc>
          <w:tcPr>
            <w:tcW w:w="2282" w:type="dxa"/>
            <w:tcMar>
              <w:top w:w="80" w:type="dxa"/>
              <w:left w:w="120" w:type="dxa"/>
              <w:bottom w:w="80" w:type="dxa"/>
              <w:right w:w="120" w:type="dxa"/>
            </w:tcMar>
            <w:vAlign w:val="center"/>
          </w:tcPr>
          <w:p w14:paraId="00869806" w14:textId="77777777" w:rsidR="00074026" w:rsidRPr="003E21FF" w:rsidRDefault="00074026" w:rsidP="006A2122">
            <w:pPr>
              <w:spacing w:after="0" w:line="252" w:lineRule="auto"/>
              <w:jc w:val="both"/>
              <w:rPr>
                <w:rFonts w:asciiTheme="majorHAnsi" w:hAnsiTheme="majorHAnsi" w:cstheme="majorHAnsi"/>
                <w:lang w:val="pl-PL"/>
              </w:rPr>
            </w:pPr>
            <w:r w:rsidRPr="003E21FF">
              <w:rPr>
                <w:rFonts w:asciiTheme="majorHAnsi" w:eastAsia="Arial" w:hAnsiTheme="majorHAnsi" w:cstheme="majorHAnsi"/>
                <w:b/>
                <w:sz w:val="18"/>
                <w:lang w:val="pl-PL"/>
              </w:rPr>
              <w:t>Interfejsy sieciowe</w:t>
            </w:r>
          </w:p>
        </w:tc>
        <w:tc>
          <w:tcPr>
            <w:tcW w:w="4111" w:type="dxa"/>
            <w:tcMar>
              <w:top w:w="80" w:type="dxa"/>
              <w:left w:w="120" w:type="dxa"/>
              <w:bottom w:w="80" w:type="dxa"/>
              <w:right w:w="120" w:type="dxa"/>
            </w:tcMar>
            <w:vAlign w:val="center"/>
          </w:tcPr>
          <w:p w14:paraId="4682CB96" w14:textId="33047586" w:rsidR="00074026" w:rsidRPr="003E21FF" w:rsidRDefault="00074026" w:rsidP="006A2122">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 xml:space="preserve">Minimum 4 porty Ethernet 1 Gb/s BASE-T zakończone złączami RJ-45. Dodatkowo minimum </w:t>
            </w:r>
            <w:r>
              <w:rPr>
                <w:rFonts w:asciiTheme="majorHAnsi" w:eastAsia="Arial" w:hAnsiTheme="majorHAnsi" w:cstheme="majorHAnsi"/>
                <w:sz w:val="18"/>
                <w:lang w:val="pl-PL"/>
              </w:rPr>
              <w:br/>
            </w:r>
            <w:r w:rsidRPr="003E21FF">
              <w:rPr>
                <w:rFonts w:asciiTheme="majorHAnsi" w:eastAsia="Arial" w:hAnsiTheme="majorHAnsi" w:cstheme="majorHAnsi"/>
                <w:sz w:val="18"/>
                <w:lang w:val="pl-PL"/>
              </w:rPr>
              <w:t>2 porty Ethernet 10/25 Gb/s SFP28, umożliwiające pracę z szybkością 10 Gb/s lub 25 Gb/s. Interfejsy sieciowe zrealizowane w standardzie OCP 3.0 lub jako karty PCI Express zgodne z oferowanym serwerem; wszystkie karty muszą być objęte wspólną gwarancją producenta serwera. Dla portów 10/25 Gb/s wymagana obsługa VLAN, PXE, SR-IOV oraz sprzętowych mechanizmów odciążania transmisji</w:t>
            </w:r>
            <w:r>
              <w:rPr>
                <w:rFonts w:asciiTheme="majorHAnsi" w:eastAsia="Arial" w:hAnsiTheme="majorHAnsi" w:cstheme="majorHAnsi"/>
                <w:sz w:val="18"/>
                <w:lang w:val="pl-PL"/>
              </w:rPr>
              <w:t>.</w:t>
            </w:r>
          </w:p>
        </w:tc>
        <w:tc>
          <w:tcPr>
            <w:tcW w:w="3685" w:type="dxa"/>
          </w:tcPr>
          <w:p w14:paraId="1C17585F" w14:textId="77777777" w:rsidR="00074026" w:rsidRPr="003E21FF" w:rsidRDefault="00074026" w:rsidP="006A2122">
            <w:pPr>
              <w:spacing w:after="0" w:line="252" w:lineRule="auto"/>
              <w:jc w:val="both"/>
              <w:rPr>
                <w:rFonts w:asciiTheme="majorHAnsi" w:eastAsia="Arial" w:hAnsiTheme="majorHAnsi" w:cstheme="majorHAnsi"/>
                <w:sz w:val="18"/>
                <w:lang w:val="pl-PL"/>
              </w:rPr>
            </w:pPr>
          </w:p>
        </w:tc>
      </w:tr>
      <w:tr w:rsidR="00074026" w:rsidRPr="002701F8" w14:paraId="6BAD353C" w14:textId="46A5FE2B" w:rsidTr="00997D2B">
        <w:trPr>
          <w:cantSplit/>
        </w:trPr>
        <w:tc>
          <w:tcPr>
            <w:tcW w:w="2282" w:type="dxa"/>
            <w:tcMar>
              <w:top w:w="80" w:type="dxa"/>
              <w:left w:w="120" w:type="dxa"/>
              <w:bottom w:w="80" w:type="dxa"/>
              <w:right w:w="120" w:type="dxa"/>
            </w:tcMar>
            <w:vAlign w:val="center"/>
          </w:tcPr>
          <w:p w14:paraId="1764BC1A" w14:textId="77777777" w:rsidR="00074026" w:rsidRPr="003E21FF" w:rsidRDefault="00074026" w:rsidP="006A2122">
            <w:pPr>
              <w:spacing w:after="0" w:line="252" w:lineRule="auto"/>
              <w:jc w:val="both"/>
              <w:rPr>
                <w:rFonts w:asciiTheme="majorHAnsi" w:hAnsiTheme="majorHAnsi" w:cstheme="majorHAnsi"/>
                <w:lang w:val="pl-PL"/>
              </w:rPr>
            </w:pPr>
            <w:r w:rsidRPr="003E21FF">
              <w:rPr>
                <w:rFonts w:asciiTheme="majorHAnsi" w:eastAsia="Arial" w:hAnsiTheme="majorHAnsi" w:cstheme="majorHAnsi"/>
                <w:b/>
                <w:sz w:val="18"/>
                <w:lang w:val="pl-PL"/>
              </w:rPr>
              <w:t>Porty lokalne i wideo</w:t>
            </w:r>
          </w:p>
        </w:tc>
        <w:tc>
          <w:tcPr>
            <w:tcW w:w="4111" w:type="dxa"/>
            <w:tcMar>
              <w:top w:w="80" w:type="dxa"/>
              <w:left w:w="120" w:type="dxa"/>
              <w:bottom w:w="80" w:type="dxa"/>
              <w:right w:w="120" w:type="dxa"/>
            </w:tcMar>
            <w:vAlign w:val="center"/>
          </w:tcPr>
          <w:p w14:paraId="0E90FFAC" w14:textId="77777777" w:rsidR="00074026" w:rsidRPr="003E21FF" w:rsidRDefault="00074026" w:rsidP="006A2122">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Porty USB oraz wyjście wideo umożliwiające lokalną instalację systemu, diagnostykę i obsługę serwisową. Co najmniej jeden port serwisowy umożliwiający bezpośrednią komunikację z kontrolerem zarządzania lub rozwiązanie funkcjonalnie równoważne.</w:t>
            </w:r>
          </w:p>
        </w:tc>
        <w:tc>
          <w:tcPr>
            <w:tcW w:w="3685" w:type="dxa"/>
          </w:tcPr>
          <w:p w14:paraId="6914804D" w14:textId="77777777" w:rsidR="00074026" w:rsidRPr="003E21FF" w:rsidRDefault="00074026" w:rsidP="006A2122">
            <w:pPr>
              <w:spacing w:after="0" w:line="252" w:lineRule="auto"/>
              <w:jc w:val="both"/>
              <w:rPr>
                <w:rFonts w:asciiTheme="majorHAnsi" w:eastAsia="Arial" w:hAnsiTheme="majorHAnsi" w:cstheme="majorHAnsi"/>
                <w:sz w:val="18"/>
                <w:lang w:val="pl-PL"/>
              </w:rPr>
            </w:pPr>
          </w:p>
        </w:tc>
      </w:tr>
      <w:tr w:rsidR="00074026" w:rsidRPr="002701F8" w14:paraId="428C3DEB" w14:textId="528AEB27" w:rsidTr="00997D2B">
        <w:trPr>
          <w:cantSplit/>
        </w:trPr>
        <w:tc>
          <w:tcPr>
            <w:tcW w:w="2282" w:type="dxa"/>
            <w:tcMar>
              <w:top w:w="80" w:type="dxa"/>
              <w:left w:w="120" w:type="dxa"/>
              <w:bottom w:w="80" w:type="dxa"/>
              <w:right w:w="120" w:type="dxa"/>
            </w:tcMar>
            <w:vAlign w:val="center"/>
          </w:tcPr>
          <w:p w14:paraId="6EE03123"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Bezpieczeństwo sprzętowe</w:t>
            </w:r>
          </w:p>
        </w:tc>
        <w:tc>
          <w:tcPr>
            <w:tcW w:w="4111" w:type="dxa"/>
            <w:tcMar>
              <w:top w:w="80" w:type="dxa"/>
              <w:left w:w="120" w:type="dxa"/>
              <w:bottom w:w="80" w:type="dxa"/>
              <w:right w:w="120" w:type="dxa"/>
            </w:tcMar>
            <w:vAlign w:val="center"/>
          </w:tcPr>
          <w:p w14:paraId="29C9ECC0" w14:textId="77777777" w:rsidR="00074026" w:rsidRPr="003E21FF" w:rsidRDefault="00074026" w:rsidP="006A2122">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Układ TPM 2.0 wbudowany w platformę lub dostarczony jako fabryczny moduł producenta serwera, gotowy do włączenia i użycia. Obsługa UEFI Secure Boot, podpisanych cyfrowo aktualizacji, bezpiecznego wycofania wersji firmware oraz sprzętowego mechanizmu Root of Trust lub rozwiązania równoważnego chroniącego integralność firmware. Możliwość bezpiecznego kasowania danych konfiguracyjnych i nośników z poziomu narzędzi producenta.</w:t>
            </w:r>
          </w:p>
        </w:tc>
        <w:tc>
          <w:tcPr>
            <w:tcW w:w="3685" w:type="dxa"/>
          </w:tcPr>
          <w:p w14:paraId="366C2790" w14:textId="77777777" w:rsidR="00074026" w:rsidRPr="003E21FF" w:rsidRDefault="00074026" w:rsidP="006A2122">
            <w:pPr>
              <w:spacing w:after="0" w:line="252" w:lineRule="auto"/>
              <w:jc w:val="both"/>
              <w:rPr>
                <w:rFonts w:asciiTheme="majorHAnsi" w:eastAsia="Arial" w:hAnsiTheme="majorHAnsi" w:cstheme="majorHAnsi"/>
                <w:sz w:val="18"/>
                <w:lang w:val="pl-PL"/>
              </w:rPr>
            </w:pPr>
          </w:p>
        </w:tc>
      </w:tr>
      <w:tr w:rsidR="00074026" w:rsidRPr="002701F8" w14:paraId="41E1ED41" w14:textId="6E368478" w:rsidTr="00997D2B">
        <w:trPr>
          <w:cantSplit/>
        </w:trPr>
        <w:tc>
          <w:tcPr>
            <w:tcW w:w="2282" w:type="dxa"/>
            <w:tcMar>
              <w:top w:w="80" w:type="dxa"/>
              <w:left w:w="120" w:type="dxa"/>
              <w:bottom w:w="80" w:type="dxa"/>
              <w:right w:w="120" w:type="dxa"/>
            </w:tcMar>
            <w:vAlign w:val="center"/>
          </w:tcPr>
          <w:p w14:paraId="193034BE"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Zasilacze</w:t>
            </w:r>
          </w:p>
        </w:tc>
        <w:tc>
          <w:tcPr>
            <w:tcW w:w="4111" w:type="dxa"/>
            <w:tcMar>
              <w:top w:w="80" w:type="dxa"/>
              <w:left w:w="120" w:type="dxa"/>
              <w:bottom w:w="80" w:type="dxa"/>
              <w:right w:w="120" w:type="dxa"/>
            </w:tcMar>
            <w:vAlign w:val="center"/>
          </w:tcPr>
          <w:p w14:paraId="696424BA" w14:textId="77777777" w:rsidR="00074026" w:rsidRPr="003E21FF" w:rsidRDefault="00074026" w:rsidP="00A00DB4">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2 jednakowe, redundantne zasilacze Hot-Plug o mocy minimum 1000 W każdy, pracujące w układzie 1+1. Każdy pojedynczy zasilacz musi zapewniać zasilanie kompletnej zaoferowanej konfiguracji w razie awarii drugiego zasilacza. Sprawność minimum 96% dla typowego obciążenia lub certyfikat 80 PLUS Titanium. W zestawie 2 przewody zasilające do rack PDU, zakończone złączami IEC C13/C14, po jednym dla każdego zasilacza.</w:t>
            </w:r>
          </w:p>
        </w:tc>
        <w:tc>
          <w:tcPr>
            <w:tcW w:w="3685" w:type="dxa"/>
          </w:tcPr>
          <w:p w14:paraId="3C84E289" w14:textId="77777777" w:rsidR="00074026" w:rsidRPr="003E21FF" w:rsidRDefault="00074026" w:rsidP="00A00DB4">
            <w:pPr>
              <w:spacing w:after="0" w:line="252" w:lineRule="auto"/>
              <w:jc w:val="both"/>
              <w:rPr>
                <w:rFonts w:asciiTheme="majorHAnsi" w:eastAsia="Arial" w:hAnsiTheme="majorHAnsi" w:cstheme="majorHAnsi"/>
                <w:sz w:val="18"/>
                <w:lang w:val="pl-PL"/>
              </w:rPr>
            </w:pPr>
          </w:p>
        </w:tc>
      </w:tr>
      <w:tr w:rsidR="00074026" w:rsidRPr="002701F8" w14:paraId="3B4C6CD4" w14:textId="50F36DD2" w:rsidTr="00997D2B">
        <w:trPr>
          <w:cantSplit/>
        </w:trPr>
        <w:tc>
          <w:tcPr>
            <w:tcW w:w="2282" w:type="dxa"/>
            <w:tcMar>
              <w:top w:w="80" w:type="dxa"/>
              <w:left w:w="120" w:type="dxa"/>
              <w:bottom w:w="80" w:type="dxa"/>
              <w:right w:w="120" w:type="dxa"/>
            </w:tcMar>
            <w:vAlign w:val="center"/>
          </w:tcPr>
          <w:p w14:paraId="1357AFDB"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lastRenderedPageBreak/>
              <w:t>Chłodzenie</w:t>
            </w:r>
          </w:p>
        </w:tc>
        <w:tc>
          <w:tcPr>
            <w:tcW w:w="4111" w:type="dxa"/>
            <w:tcMar>
              <w:top w:w="80" w:type="dxa"/>
              <w:left w:w="120" w:type="dxa"/>
              <w:bottom w:w="80" w:type="dxa"/>
              <w:right w:w="120" w:type="dxa"/>
            </w:tcMar>
            <w:vAlign w:val="center"/>
          </w:tcPr>
          <w:p w14:paraId="260224D9" w14:textId="77777777" w:rsidR="00074026" w:rsidRPr="003E21FF" w:rsidRDefault="00074026" w:rsidP="00CD4286">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Kompletny system chłodzenia dobrany i skonfigurowany przez producenta serwera do pracy wszystkich zaoferowanych podzespołów, w tym dwóch procesorów, 128 GB RAM, 12 dysków i kart rozszerzeń. Wentylatory Hot-Plug z redundancją co najmniej N+1; awaria pojedynczego wentylatora nie może powodować natychmiastowego wyłączenia serwera przy zachowaniu dopuszczalnych warunków środowiskowych.</w:t>
            </w:r>
          </w:p>
        </w:tc>
        <w:tc>
          <w:tcPr>
            <w:tcW w:w="3685" w:type="dxa"/>
          </w:tcPr>
          <w:p w14:paraId="25C8F924" w14:textId="77777777" w:rsidR="00074026" w:rsidRPr="003E21FF" w:rsidRDefault="00074026" w:rsidP="00CD4286">
            <w:pPr>
              <w:spacing w:after="0" w:line="252" w:lineRule="auto"/>
              <w:jc w:val="both"/>
              <w:rPr>
                <w:rFonts w:asciiTheme="majorHAnsi" w:eastAsia="Arial" w:hAnsiTheme="majorHAnsi" w:cstheme="majorHAnsi"/>
                <w:sz w:val="18"/>
                <w:lang w:val="pl-PL"/>
              </w:rPr>
            </w:pPr>
          </w:p>
        </w:tc>
      </w:tr>
      <w:tr w:rsidR="00074026" w:rsidRPr="002701F8" w14:paraId="4AC56938" w14:textId="2A0AAA7A" w:rsidTr="00997D2B">
        <w:trPr>
          <w:cantSplit/>
        </w:trPr>
        <w:tc>
          <w:tcPr>
            <w:tcW w:w="2282" w:type="dxa"/>
            <w:tcMar>
              <w:top w:w="80" w:type="dxa"/>
              <w:left w:w="120" w:type="dxa"/>
              <w:bottom w:w="80" w:type="dxa"/>
              <w:right w:w="120" w:type="dxa"/>
            </w:tcMar>
            <w:vAlign w:val="center"/>
          </w:tcPr>
          <w:p w14:paraId="7DF7CC3D"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Kontroler zarządzania</w:t>
            </w:r>
          </w:p>
        </w:tc>
        <w:tc>
          <w:tcPr>
            <w:tcW w:w="4111" w:type="dxa"/>
            <w:tcMar>
              <w:top w:w="80" w:type="dxa"/>
              <w:left w:w="120" w:type="dxa"/>
              <w:bottom w:w="80" w:type="dxa"/>
              <w:right w:w="120" w:type="dxa"/>
            </w:tcMar>
            <w:vAlign w:val="center"/>
          </w:tcPr>
          <w:p w14:paraId="26634E73" w14:textId="77777777" w:rsidR="00074026" w:rsidRPr="003E21FF" w:rsidRDefault="00074026" w:rsidP="00EC6E38">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Wbudowany, niezależny od systemu operacyjnego kontroler zarządzania wyposażony w dedykowany port RJ-45. Licencja producenta zapewniająca przez cały okres gwarancji co najmniej: zdalną konsolę KVM w HTML5, zdalne media wirtualne z możliwością rozruchu, zdalne włączenie, wyłączenie i reset, monitoring podzespołów, dziennik zdarzeń, alerty, konfigurację BIOS/UEFI i aktualizację firmware. Obsługa co najmniej HTTPS, SSH/CLI, SNMPv3, IPMI 2.0 i Redfish API oraz integracji z usługą katalogową LDAP lub Active Directory. Możliwość zarządzania serwerem i wykonania pełnej instalacji systemu operacyjnego bez fizycznej obecności administratora przy serwerze.</w:t>
            </w:r>
          </w:p>
        </w:tc>
        <w:tc>
          <w:tcPr>
            <w:tcW w:w="3685" w:type="dxa"/>
          </w:tcPr>
          <w:p w14:paraId="763AE056" w14:textId="77777777" w:rsidR="00074026" w:rsidRPr="003E21FF" w:rsidRDefault="00074026" w:rsidP="00EC6E38">
            <w:pPr>
              <w:spacing w:after="0" w:line="252" w:lineRule="auto"/>
              <w:jc w:val="both"/>
              <w:rPr>
                <w:rFonts w:asciiTheme="majorHAnsi" w:eastAsia="Arial" w:hAnsiTheme="majorHAnsi" w:cstheme="majorHAnsi"/>
                <w:sz w:val="18"/>
                <w:lang w:val="pl-PL"/>
              </w:rPr>
            </w:pPr>
          </w:p>
        </w:tc>
      </w:tr>
      <w:tr w:rsidR="00074026" w:rsidRPr="002701F8" w14:paraId="39CBBF33" w14:textId="4BBD3129" w:rsidTr="00997D2B">
        <w:trPr>
          <w:cantSplit/>
        </w:trPr>
        <w:tc>
          <w:tcPr>
            <w:tcW w:w="2282" w:type="dxa"/>
            <w:tcMar>
              <w:top w:w="80" w:type="dxa"/>
              <w:left w:w="120" w:type="dxa"/>
              <w:bottom w:w="80" w:type="dxa"/>
              <w:right w:w="120" w:type="dxa"/>
            </w:tcMar>
            <w:vAlign w:val="center"/>
          </w:tcPr>
          <w:p w14:paraId="12626236"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System operacyjny</w:t>
            </w:r>
          </w:p>
        </w:tc>
        <w:tc>
          <w:tcPr>
            <w:tcW w:w="4111" w:type="dxa"/>
            <w:tcMar>
              <w:top w:w="80" w:type="dxa"/>
              <w:left w:w="120" w:type="dxa"/>
              <w:bottom w:w="80" w:type="dxa"/>
              <w:right w:w="120" w:type="dxa"/>
            </w:tcMar>
            <w:vAlign w:val="center"/>
          </w:tcPr>
          <w:p w14:paraId="635E756D" w14:textId="77777777" w:rsidR="00074026" w:rsidRPr="003E21FF" w:rsidRDefault="00074026" w:rsidP="00B73385">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Serwery mają zostać dostarczone bez systemu operacyjnego i bez licencji na system operacyjny. Platforma sprzętowa musi umożliwiać instalację systemu Proxmox VE oraz aktualnych systemów Linux przeznaczonych dla architektury x86-64.</w:t>
            </w:r>
          </w:p>
        </w:tc>
        <w:tc>
          <w:tcPr>
            <w:tcW w:w="3685" w:type="dxa"/>
          </w:tcPr>
          <w:p w14:paraId="3413DDB8" w14:textId="77777777" w:rsidR="00074026" w:rsidRPr="003E21FF" w:rsidRDefault="00074026" w:rsidP="00B73385">
            <w:pPr>
              <w:spacing w:after="0" w:line="252" w:lineRule="auto"/>
              <w:jc w:val="both"/>
              <w:rPr>
                <w:rFonts w:asciiTheme="majorHAnsi" w:eastAsia="Arial" w:hAnsiTheme="majorHAnsi" w:cstheme="majorHAnsi"/>
                <w:sz w:val="18"/>
                <w:lang w:val="pl-PL"/>
              </w:rPr>
            </w:pPr>
          </w:p>
        </w:tc>
      </w:tr>
      <w:tr w:rsidR="00074026" w:rsidRPr="002701F8" w14:paraId="4F08E5BB" w14:textId="792D9DED" w:rsidTr="00997D2B">
        <w:trPr>
          <w:cantSplit/>
        </w:trPr>
        <w:tc>
          <w:tcPr>
            <w:tcW w:w="2282" w:type="dxa"/>
            <w:tcMar>
              <w:top w:w="80" w:type="dxa"/>
              <w:left w:w="120" w:type="dxa"/>
              <w:bottom w:w="80" w:type="dxa"/>
              <w:right w:w="120" w:type="dxa"/>
            </w:tcMar>
            <w:vAlign w:val="center"/>
          </w:tcPr>
          <w:p w14:paraId="5872D0E2"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Zgodność i certyfikaty</w:t>
            </w:r>
          </w:p>
        </w:tc>
        <w:tc>
          <w:tcPr>
            <w:tcW w:w="4111" w:type="dxa"/>
            <w:tcMar>
              <w:top w:w="80" w:type="dxa"/>
              <w:left w:w="120" w:type="dxa"/>
              <w:bottom w:w="80" w:type="dxa"/>
              <w:right w:w="120" w:type="dxa"/>
            </w:tcMar>
            <w:vAlign w:val="center"/>
          </w:tcPr>
          <w:p w14:paraId="47C44146" w14:textId="77777777" w:rsidR="00074026" w:rsidRPr="003E21FF" w:rsidRDefault="00074026" w:rsidP="007679BF">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Oferowany model serwera musi posiadać deklarację zgodności CE oraz spełniać wymagania RoHS obowiązujące na terenie Unii Europejskiej. Wszystkie elementy konfiguracji muszą być rozpoznawane i monitorowane przez kontroler zarządzania bez komunikatów o nieobsługiwanych podzespołach.</w:t>
            </w:r>
          </w:p>
        </w:tc>
        <w:tc>
          <w:tcPr>
            <w:tcW w:w="3685" w:type="dxa"/>
          </w:tcPr>
          <w:p w14:paraId="6610953E" w14:textId="77777777" w:rsidR="00074026" w:rsidRPr="003E21FF" w:rsidRDefault="00074026" w:rsidP="007679BF">
            <w:pPr>
              <w:spacing w:after="0" w:line="252" w:lineRule="auto"/>
              <w:jc w:val="both"/>
              <w:rPr>
                <w:rFonts w:asciiTheme="majorHAnsi" w:eastAsia="Arial" w:hAnsiTheme="majorHAnsi" w:cstheme="majorHAnsi"/>
                <w:sz w:val="18"/>
                <w:lang w:val="pl-PL"/>
              </w:rPr>
            </w:pPr>
          </w:p>
        </w:tc>
      </w:tr>
      <w:tr w:rsidR="00074026" w:rsidRPr="002701F8" w14:paraId="713A219C" w14:textId="253A4703" w:rsidTr="00997D2B">
        <w:trPr>
          <w:cantSplit/>
        </w:trPr>
        <w:tc>
          <w:tcPr>
            <w:tcW w:w="2282" w:type="dxa"/>
            <w:tcMar>
              <w:top w:w="80" w:type="dxa"/>
              <w:left w:w="120" w:type="dxa"/>
              <w:bottom w:w="80" w:type="dxa"/>
              <w:right w:w="120" w:type="dxa"/>
            </w:tcMar>
            <w:vAlign w:val="center"/>
          </w:tcPr>
          <w:p w14:paraId="236225D4"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t>Warunki gwarancji</w:t>
            </w:r>
          </w:p>
        </w:tc>
        <w:tc>
          <w:tcPr>
            <w:tcW w:w="4111" w:type="dxa"/>
            <w:tcMar>
              <w:top w:w="80" w:type="dxa"/>
              <w:left w:w="120" w:type="dxa"/>
              <w:bottom w:w="80" w:type="dxa"/>
              <w:right w:w="120" w:type="dxa"/>
            </w:tcMar>
            <w:vAlign w:val="center"/>
          </w:tcPr>
          <w:p w14:paraId="07520944" w14:textId="77777777" w:rsidR="00074026" w:rsidRPr="003E21FF" w:rsidRDefault="00074026" w:rsidP="00CD2DFE">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Minimum 36 miesięcy gwarancji producenta obejmującej wszystkie dostarczone elementy konfiguracji. Podjęcie czynności serwisowych na miejscu u Zamawiającego najpóźniej w następnym dniu roboczym po skutecznym zgłoszeniu awarii (NBD Onsite), realizowane przez producenta lub jego autoryzowany serwis. Możliwość zgłaszania awarii bezpośrednio przez portal internetowy lub infolinię producenta oraz dostęp do aktualizacji firmware i oprogramowania systemowego przez cały okres gwarancji. Usługa zachowania uszkodzonych nośników danych przez Zamawiającego (Defective Media Retention, DMR) przez cały okres gwarancji, obejmująca wszystkie dostarczone dyski i inne nośniki danych. Status, poziom i termin obowiązywania gwarancji muszą być możliwe do zweryfikowania na stronie producenta na podstawie numeru seryjnego serwera.</w:t>
            </w:r>
          </w:p>
        </w:tc>
        <w:tc>
          <w:tcPr>
            <w:tcW w:w="3685" w:type="dxa"/>
          </w:tcPr>
          <w:p w14:paraId="47C30F9D" w14:textId="77777777" w:rsidR="00074026" w:rsidRPr="003E21FF" w:rsidRDefault="00074026" w:rsidP="00CD2DFE">
            <w:pPr>
              <w:spacing w:after="0" w:line="252" w:lineRule="auto"/>
              <w:jc w:val="both"/>
              <w:rPr>
                <w:rFonts w:asciiTheme="majorHAnsi" w:eastAsia="Arial" w:hAnsiTheme="majorHAnsi" w:cstheme="majorHAnsi"/>
                <w:sz w:val="18"/>
                <w:lang w:val="pl-PL"/>
              </w:rPr>
            </w:pPr>
          </w:p>
        </w:tc>
      </w:tr>
      <w:tr w:rsidR="00074026" w:rsidRPr="002701F8" w14:paraId="484D34E4" w14:textId="213AC57D" w:rsidTr="00997D2B">
        <w:trPr>
          <w:cantSplit/>
        </w:trPr>
        <w:tc>
          <w:tcPr>
            <w:tcW w:w="2282" w:type="dxa"/>
            <w:tcMar>
              <w:top w:w="80" w:type="dxa"/>
              <w:left w:w="120" w:type="dxa"/>
              <w:bottom w:w="80" w:type="dxa"/>
              <w:right w:w="120" w:type="dxa"/>
            </w:tcMar>
            <w:vAlign w:val="center"/>
          </w:tcPr>
          <w:p w14:paraId="5E284871" w14:textId="77777777" w:rsidR="00074026" w:rsidRPr="003E21FF" w:rsidRDefault="00074026">
            <w:pPr>
              <w:spacing w:after="0" w:line="252" w:lineRule="auto"/>
              <w:rPr>
                <w:rFonts w:asciiTheme="majorHAnsi" w:hAnsiTheme="majorHAnsi" w:cstheme="majorHAnsi"/>
                <w:lang w:val="pl-PL"/>
              </w:rPr>
            </w:pPr>
            <w:r w:rsidRPr="003E21FF">
              <w:rPr>
                <w:rFonts w:asciiTheme="majorHAnsi" w:eastAsia="Arial" w:hAnsiTheme="majorHAnsi" w:cstheme="majorHAnsi"/>
                <w:b/>
                <w:sz w:val="18"/>
                <w:lang w:val="pl-PL"/>
              </w:rPr>
              <w:lastRenderedPageBreak/>
              <w:t>Dokumentacja i odbiór</w:t>
            </w:r>
          </w:p>
        </w:tc>
        <w:tc>
          <w:tcPr>
            <w:tcW w:w="4111" w:type="dxa"/>
            <w:tcMar>
              <w:top w:w="80" w:type="dxa"/>
              <w:left w:w="120" w:type="dxa"/>
              <w:bottom w:w="80" w:type="dxa"/>
              <w:right w:w="120" w:type="dxa"/>
            </w:tcMar>
            <w:vAlign w:val="center"/>
          </w:tcPr>
          <w:p w14:paraId="4A70111C" w14:textId="77777777" w:rsidR="00074026" w:rsidRPr="003E21FF" w:rsidRDefault="00074026" w:rsidP="00554184">
            <w:pPr>
              <w:spacing w:after="0" w:line="252" w:lineRule="auto"/>
              <w:jc w:val="both"/>
              <w:rPr>
                <w:rFonts w:asciiTheme="majorHAnsi" w:hAnsiTheme="majorHAnsi" w:cstheme="majorHAnsi"/>
                <w:lang w:val="pl-PL"/>
              </w:rPr>
            </w:pPr>
            <w:r w:rsidRPr="003E21FF">
              <w:rPr>
                <w:rFonts w:asciiTheme="majorHAnsi" w:eastAsia="Arial" w:hAnsiTheme="majorHAnsi" w:cstheme="majorHAnsi"/>
                <w:sz w:val="18"/>
                <w:lang w:val="pl-PL"/>
              </w:rPr>
              <w:t>Dokumentacja techniczna i instrukcje producenta w języku polskim lub angielskim. Wykonawca dostarczy dla każdego serwera zestawienie konfiguracji, producenta i modeli wszystkich istotnych podzespołów, numery seryjne oraz dokument potwierdzający poziom i okres gwarancji oraz usługę DMR. Przy odbiorze wszystkie serwery muszą posiadać aktualne, stabilne wersje BIOS/UEFI, firmware kontrolera zarządzania, kontrolera dyskowego i kart sieciowych, zalecane przez producenta na dzień dostawy. Wykonawca potwierdzi kompletność 12 dysków, działanie obu zasilaczy, kontrolera zarządzania, portów sieciowych oraz możliwość ustawienia dysków w trybie JBOD/pass-through.</w:t>
            </w:r>
          </w:p>
        </w:tc>
        <w:tc>
          <w:tcPr>
            <w:tcW w:w="3685" w:type="dxa"/>
          </w:tcPr>
          <w:p w14:paraId="66B722E0" w14:textId="77777777" w:rsidR="00074026" w:rsidRPr="003E21FF" w:rsidRDefault="00074026" w:rsidP="00554184">
            <w:pPr>
              <w:spacing w:after="0" w:line="252" w:lineRule="auto"/>
              <w:jc w:val="both"/>
              <w:rPr>
                <w:rFonts w:asciiTheme="majorHAnsi" w:eastAsia="Arial" w:hAnsiTheme="majorHAnsi" w:cstheme="majorHAnsi"/>
                <w:sz w:val="18"/>
                <w:lang w:val="pl-PL"/>
              </w:rPr>
            </w:pPr>
          </w:p>
        </w:tc>
      </w:tr>
    </w:tbl>
    <w:p w14:paraId="54F2E0E0" w14:textId="77777777" w:rsidR="009968CC" w:rsidRDefault="009968CC">
      <w:pPr>
        <w:spacing w:after="0"/>
        <w:rPr>
          <w:rFonts w:asciiTheme="majorHAnsi" w:hAnsiTheme="majorHAnsi" w:cstheme="majorHAnsi"/>
          <w:lang w:val="pl-PL"/>
        </w:rPr>
      </w:pPr>
    </w:p>
    <w:p w14:paraId="783FA424" w14:textId="7B845EA6" w:rsidR="00074026" w:rsidRPr="00000849" w:rsidRDefault="00074026" w:rsidP="00074026">
      <w:pPr>
        <w:pStyle w:val="Bezodstpw"/>
        <w:spacing w:line="276" w:lineRule="auto"/>
        <w:rPr>
          <w:rFonts w:asciiTheme="majorHAnsi" w:eastAsia="Times New Roman" w:hAnsiTheme="majorHAnsi" w:cstheme="majorHAnsi"/>
        </w:rPr>
      </w:pPr>
      <w:r w:rsidRPr="00000849">
        <w:rPr>
          <w:rFonts w:asciiTheme="majorHAnsi" w:eastAsia="Calibri" w:hAnsiTheme="majorHAnsi" w:cstheme="majorHAnsi"/>
        </w:rPr>
        <w:t xml:space="preserve">Oferuję </w:t>
      </w:r>
      <w:r w:rsidRPr="003E21FF">
        <w:rPr>
          <w:rFonts w:asciiTheme="majorHAnsi" w:hAnsiTheme="majorHAnsi" w:cstheme="majorHAnsi"/>
          <w:b/>
          <w:lang w:val="pl-PL"/>
        </w:rPr>
        <w:t>3 serwer</w:t>
      </w:r>
      <w:r>
        <w:rPr>
          <w:rFonts w:asciiTheme="majorHAnsi" w:hAnsiTheme="majorHAnsi" w:cstheme="majorHAnsi"/>
          <w:b/>
          <w:lang w:val="pl-PL"/>
        </w:rPr>
        <w:t>y</w:t>
      </w:r>
      <w:r w:rsidRPr="00000849">
        <w:rPr>
          <w:rFonts w:asciiTheme="majorHAnsi" w:eastAsia="Calibri" w:hAnsiTheme="majorHAnsi" w:cstheme="majorHAnsi"/>
        </w:rPr>
        <w:t xml:space="preserve"> ………………….………… (proszę wskazać producenta</w:t>
      </w:r>
      <w:r w:rsidRPr="00000849">
        <w:rPr>
          <w:rFonts w:asciiTheme="majorHAnsi" w:hAnsiTheme="majorHAnsi" w:cstheme="majorHAnsi"/>
        </w:rPr>
        <w:t xml:space="preserve"> i typ </w:t>
      </w:r>
      <w:r w:rsidRPr="00000849">
        <w:rPr>
          <w:rFonts w:asciiTheme="majorHAnsi" w:eastAsia="Calibri" w:hAnsiTheme="majorHAnsi" w:cstheme="majorHAnsi"/>
        </w:rPr>
        <w:t xml:space="preserve">) za łączną kwotę brutto: ………………………………..…….. zł, </w:t>
      </w:r>
      <w:r>
        <w:rPr>
          <w:rFonts w:asciiTheme="majorHAnsi" w:eastAsia="Calibri" w:hAnsiTheme="majorHAnsi" w:cstheme="majorHAnsi"/>
        </w:rPr>
        <w:t>(</w:t>
      </w:r>
      <w:r w:rsidRPr="00000849">
        <w:rPr>
          <w:rFonts w:asciiTheme="majorHAnsi" w:eastAsia="Calibri" w:hAnsiTheme="majorHAnsi" w:cstheme="majorHAnsi"/>
        </w:rPr>
        <w:t xml:space="preserve">w tym vat </w:t>
      </w:r>
      <w:r>
        <w:rPr>
          <w:rFonts w:asciiTheme="majorHAnsi" w:eastAsia="Calibri" w:hAnsiTheme="majorHAnsi" w:cstheme="majorHAnsi"/>
        </w:rPr>
        <w:t>)</w:t>
      </w:r>
      <w:r w:rsidRPr="00000849">
        <w:rPr>
          <w:rFonts w:asciiTheme="majorHAnsi" w:eastAsia="Calibri" w:hAnsiTheme="majorHAnsi" w:cstheme="majorHAnsi"/>
        </w:rPr>
        <w:t xml:space="preserve"> </w:t>
      </w:r>
    </w:p>
    <w:p w14:paraId="3C88F9CE" w14:textId="77777777" w:rsidR="00074026" w:rsidRPr="00000849" w:rsidRDefault="00074026" w:rsidP="00074026">
      <w:pPr>
        <w:pStyle w:val="Bezodstpw"/>
        <w:spacing w:line="276" w:lineRule="auto"/>
        <w:rPr>
          <w:rFonts w:asciiTheme="majorHAnsi" w:eastAsia="Times New Roman" w:hAnsiTheme="majorHAnsi" w:cstheme="majorHAnsi"/>
        </w:rPr>
      </w:pPr>
      <w:r w:rsidRPr="00000849">
        <w:rPr>
          <w:rFonts w:asciiTheme="majorHAnsi" w:eastAsia="Times New Roman" w:hAnsiTheme="majorHAnsi" w:cstheme="majorHAnsi"/>
        </w:rPr>
        <w:t>słownie…………............................................................................................................................ zł).</w:t>
      </w:r>
    </w:p>
    <w:p w14:paraId="6DE43012" w14:textId="77777777" w:rsidR="00074026" w:rsidRPr="00000849" w:rsidRDefault="00074026" w:rsidP="00074026">
      <w:pPr>
        <w:pStyle w:val="Bezodstpw"/>
        <w:spacing w:line="276" w:lineRule="auto"/>
        <w:rPr>
          <w:rFonts w:asciiTheme="majorHAnsi" w:eastAsia="Times New Roman" w:hAnsiTheme="majorHAnsi" w:cstheme="majorHAnsi"/>
        </w:rPr>
      </w:pPr>
      <w:r w:rsidRPr="00000849">
        <w:rPr>
          <w:rFonts w:asciiTheme="majorHAnsi" w:eastAsia="Times New Roman" w:hAnsiTheme="majorHAnsi" w:cstheme="majorHAnsi"/>
        </w:rPr>
        <w:t>stawka należnego podatku VAT ……..……% …………………………………………………….…..zł</w:t>
      </w:r>
    </w:p>
    <w:p w14:paraId="66151361" w14:textId="77777777" w:rsidR="00074026" w:rsidRPr="00000849" w:rsidRDefault="00074026" w:rsidP="00074026">
      <w:pPr>
        <w:pStyle w:val="Bezodstpw"/>
        <w:spacing w:line="276" w:lineRule="auto"/>
        <w:rPr>
          <w:rFonts w:asciiTheme="majorHAnsi" w:eastAsia="Times New Roman" w:hAnsiTheme="majorHAnsi" w:cstheme="majorHAnsi"/>
        </w:rPr>
      </w:pPr>
      <w:r w:rsidRPr="00000849">
        <w:rPr>
          <w:rFonts w:asciiTheme="majorHAnsi" w:eastAsia="Times New Roman" w:hAnsiTheme="majorHAnsi" w:cstheme="majorHAnsi"/>
        </w:rPr>
        <w:t>netto …...................................(słownie:………................................................................................</w:t>
      </w:r>
    </w:p>
    <w:p w14:paraId="51955F5B" w14:textId="77777777" w:rsidR="00074026" w:rsidRPr="00000849" w:rsidRDefault="00074026" w:rsidP="00074026">
      <w:pPr>
        <w:pStyle w:val="Bezodstpw"/>
        <w:spacing w:line="276" w:lineRule="auto"/>
        <w:rPr>
          <w:rFonts w:asciiTheme="majorHAnsi" w:eastAsia="Calibri" w:hAnsiTheme="majorHAnsi" w:cstheme="majorHAnsi"/>
        </w:rPr>
      </w:pPr>
      <w:r w:rsidRPr="00000849">
        <w:rPr>
          <w:rFonts w:asciiTheme="majorHAnsi" w:eastAsia="Times New Roman" w:hAnsiTheme="majorHAnsi" w:cstheme="majorHAnsi"/>
        </w:rPr>
        <w:t xml:space="preserve">……………………………………………..………………………………………………………………………...zł)   </w:t>
      </w:r>
    </w:p>
    <w:p w14:paraId="6A780E35" w14:textId="77777777" w:rsidR="00074026" w:rsidRDefault="00074026" w:rsidP="00074026">
      <w:pPr>
        <w:spacing w:after="0"/>
        <w:rPr>
          <w:rFonts w:asciiTheme="majorHAnsi" w:hAnsiTheme="majorHAnsi" w:cstheme="majorHAnsi"/>
          <w:lang w:val="pl-PL"/>
        </w:rPr>
      </w:pPr>
    </w:p>
    <w:p w14:paraId="1AC5F387" w14:textId="77777777" w:rsidR="00074026" w:rsidRDefault="00074026" w:rsidP="00074026">
      <w:pPr>
        <w:pStyle w:val="Akapitzlist1"/>
        <w:spacing w:line="240" w:lineRule="auto"/>
        <w:ind w:left="0"/>
        <w:jc w:val="center"/>
        <w:rPr>
          <w:rFonts w:asciiTheme="majorHAnsi" w:hAnsiTheme="majorHAnsi" w:cstheme="majorHAnsi"/>
          <w:b/>
          <w:sz w:val="22"/>
          <w:szCs w:val="22"/>
        </w:rPr>
      </w:pPr>
    </w:p>
    <w:p w14:paraId="371C4794" w14:textId="6B1AD621" w:rsidR="00074026" w:rsidRPr="00000849" w:rsidRDefault="00074026" w:rsidP="00074026">
      <w:pPr>
        <w:pStyle w:val="Akapitzlist1"/>
        <w:spacing w:line="240" w:lineRule="auto"/>
        <w:ind w:left="0"/>
        <w:jc w:val="center"/>
        <w:rPr>
          <w:rFonts w:asciiTheme="majorHAnsi" w:hAnsiTheme="majorHAnsi" w:cstheme="majorHAnsi"/>
          <w:b/>
          <w:i/>
          <w:sz w:val="22"/>
          <w:szCs w:val="22"/>
        </w:rPr>
      </w:pPr>
      <w:r w:rsidRPr="00000849">
        <w:rPr>
          <w:rFonts w:asciiTheme="majorHAnsi" w:hAnsiTheme="majorHAnsi" w:cstheme="majorHAnsi"/>
          <w:b/>
          <w:sz w:val="22"/>
          <w:szCs w:val="22"/>
        </w:rPr>
        <w:t xml:space="preserve">(powyższą kwotę </w:t>
      </w:r>
      <w:r>
        <w:rPr>
          <w:rFonts w:asciiTheme="majorHAnsi" w:hAnsiTheme="majorHAnsi" w:cstheme="majorHAnsi"/>
          <w:b/>
          <w:sz w:val="22"/>
          <w:szCs w:val="22"/>
        </w:rPr>
        <w:t xml:space="preserve">brutto </w:t>
      </w:r>
      <w:r w:rsidRPr="00000849">
        <w:rPr>
          <w:rFonts w:asciiTheme="majorHAnsi" w:hAnsiTheme="majorHAnsi" w:cstheme="majorHAnsi"/>
          <w:b/>
          <w:sz w:val="22"/>
          <w:szCs w:val="22"/>
        </w:rPr>
        <w:t xml:space="preserve">należy </w:t>
      </w:r>
      <w:r>
        <w:rPr>
          <w:rFonts w:asciiTheme="majorHAnsi" w:hAnsiTheme="majorHAnsi" w:cstheme="majorHAnsi"/>
          <w:b/>
          <w:sz w:val="22"/>
          <w:szCs w:val="22"/>
        </w:rPr>
        <w:t xml:space="preserve">również </w:t>
      </w:r>
      <w:r w:rsidRPr="00000849">
        <w:rPr>
          <w:rFonts w:asciiTheme="majorHAnsi" w:hAnsiTheme="majorHAnsi" w:cstheme="majorHAnsi"/>
          <w:b/>
          <w:sz w:val="22"/>
          <w:szCs w:val="22"/>
        </w:rPr>
        <w:t xml:space="preserve">wpisać w elektronicznym formularzu ofertowym w zadaniu </w:t>
      </w:r>
      <w:r>
        <w:rPr>
          <w:rFonts w:asciiTheme="majorHAnsi" w:hAnsiTheme="majorHAnsi" w:cstheme="majorHAnsi"/>
          <w:b/>
          <w:sz w:val="22"/>
          <w:szCs w:val="22"/>
        </w:rPr>
        <w:t>5</w:t>
      </w:r>
      <w:r w:rsidRPr="00000849">
        <w:rPr>
          <w:rFonts w:asciiTheme="majorHAnsi" w:hAnsiTheme="majorHAnsi" w:cstheme="majorHAnsi"/>
          <w:b/>
          <w:sz w:val="22"/>
          <w:szCs w:val="22"/>
        </w:rPr>
        <w:t>)</w:t>
      </w:r>
    </w:p>
    <w:p w14:paraId="52F2C1D2" w14:textId="77777777" w:rsidR="00074026" w:rsidRPr="00000849" w:rsidRDefault="00074026" w:rsidP="00074026">
      <w:pPr>
        <w:tabs>
          <w:tab w:val="left" w:pos="720"/>
          <w:tab w:val="left" w:pos="5609"/>
        </w:tabs>
        <w:spacing w:line="240" w:lineRule="auto"/>
        <w:ind w:right="-13"/>
        <w:rPr>
          <w:rFonts w:asciiTheme="majorHAnsi" w:hAnsiTheme="majorHAnsi" w:cstheme="majorHAnsi"/>
          <w:sz w:val="22"/>
        </w:rPr>
      </w:pPr>
      <w:r w:rsidRPr="00000849">
        <w:rPr>
          <w:rFonts w:asciiTheme="majorHAnsi" w:hAnsiTheme="majorHAnsi" w:cstheme="majorHAnsi"/>
          <w:b/>
          <w:i/>
          <w:sz w:val="22"/>
        </w:rPr>
        <w:t>Formularz powinien być sporządzony z zachowaniem postaci elektronicznej i podpisane kwalifikowanym podpisem elektronicznym lub w postaci elektronicznej oparzonej podpisem zaufanym lub elektronicznym podpisem osobistym.</w:t>
      </w:r>
    </w:p>
    <w:p w14:paraId="11D01EF0" w14:textId="77777777" w:rsidR="00074026" w:rsidRPr="003E21FF" w:rsidRDefault="00074026">
      <w:pPr>
        <w:spacing w:after="0"/>
        <w:rPr>
          <w:rFonts w:asciiTheme="majorHAnsi" w:hAnsiTheme="majorHAnsi" w:cstheme="majorHAnsi"/>
          <w:lang w:val="pl-PL"/>
        </w:rPr>
      </w:pPr>
    </w:p>
    <w:sectPr w:rsidR="00074026" w:rsidRPr="003E21FF" w:rsidSect="00034616">
      <w:headerReference w:type="default" r:id="rId8"/>
      <w:footerReference w:type="default" r:id="rId9"/>
      <w:pgSz w:w="11906" w:h="16838"/>
      <w:pgMar w:top="1814" w:right="1020" w:bottom="964" w:left="1020" w:header="340" w:footer="3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FF5CD" w14:textId="77777777" w:rsidR="00EA2B44" w:rsidRDefault="00EA2B44">
      <w:pPr>
        <w:spacing w:after="0" w:line="240" w:lineRule="auto"/>
      </w:pPr>
      <w:r>
        <w:separator/>
      </w:r>
    </w:p>
  </w:endnote>
  <w:endnote w:type="continuationSeparator" w:id="0">
    <w:p w14:paraId="4654F7A8" w14:textId="77777777" w:rsidR="00EA2B44" w:rsidRDefault="00EA2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8E8E" w14:textId="77777777" w:rsidR="009968CC" w:rsidRDefault="009968CC">
    <w:pPr>
      <w:pStyle w:val="Stopka"/>
    </w:pPr>
  </w:p>
  <w:tbl>
    <w:tblPr>
      <w:tblW w:w="0" w:type="auto"/>
      <w:jc w:val="center"/>
      <w:tblLayout w:type="fixed"/>
      <w:tblLook w:val="04A0" w:firstRow="1" w:lastRow="0" w:firstColumn="1" w:lastColumn="0" w:noHBand="0" w:noVBand="1"/>
    </w:tblPr>
    <w:tblGrid>
      <w:gridCol w:w="4932"/>
      <w:gridCol w:w="4932"/>
    </w:tblGrid>
    <w:tr w:rsidR="009968CC" w14:paraId="4C73AAF0" w14:textId="77777777">
      <w:trPr>
        <w:jc w:val="center"/>
      </w:trPr>
      <w:tc>
        <w:tcPr>
          <w:tcW w:w="4932" w:type="dxa"/>
          <w:tcMar>
            <w:top w:w="0" w:type="dxa"/>
            <w:left w:w="0" w:type="dxa"/>
            <w:bottom w:w="0" w:type="dxa"/>
            <w:right w:w="0" w:type="dxa"/>
          </w:tcMar>
        </w:tcPr>
        <w:p w14:paraId="7F18D53E" w14:textId="77777777" w:rsidR="009968CC" w:rsidRDefault="00417439">
          <w:pPr>
            <w:spacing w:after="0"/>
          </w:pPr>
          <w:r>
            <w:rPr>
              <w:rFonts w:eastAsia="Arial"/>
              <w:color w:val="666666"/>
              <w:sz w:val="17"/>
            </w:rPr>
            <w:t>Projekt „Cyberbezpieczny Samorząd”</w:t>
          </w:r>
        </w:p>
      </w:tc>
      <w:tc>
        <w:tcPr>
          <w:tcW w:w="4932" w:type="dxa"/>
          <w:tcMar>
            <w:top w:w="0" w:type="dxa"/>
            <w:left w:w="0" w:type="dxa"/>
            <w:bottom w:w="0" w:type="dxa"/>
            <w:right w:w="0" w:type="dxa"/>
          </w:tcMar>
        </w:tcPr>
        <w:p w14:paraId="76B9AECB" w14:textId="77777777" w:rsidR="009968CC" w:rsidRDefault="00417439">
          <w:pPr>
            <w:spacing w:after="0"/>
            <w:jc w:val="right"/>
          </w:pPr>
          <w:r>
            <w:rPr>
              <w:rFonts w:eastAsia="Arial"/>
              <w:color w:val="666666"/>
              <w:sz w:val="17"/>
            </w:rPr>
            <w:t xml:space="preserve">Strona </w:t>
          </w:r>
          <w:r>
            <w:rPr>
              <w:color w:val="666666"/>
              <w:sz w:val="17"/>
            </w:rPr>
            <w:fldChar w:fldCharType="begin"/>
          </w:r>
          <w:r>
            <w:rPr>
              <w:color w:val="666666"/>
              <w:sz w:val="17"/>
            </w:rPr>
            <w:instrText xml:space="preserve"> PAGE </w:instrText>
          </w:r>
          <w:r>
            <w:rPr>
              <w:color w:val="666666"/>
              <w:sz w:val="17"/>
            </w:rPr>
            <w:fldChar w:fldCharType="separate"/>
          </w:r>
          <w:r w:rsidR="00753555">
            <w:rPr>
              <w:noProof/>
              <w:color w:val="666666"/>
              <w:sz w:val="17"/>
            </w:rPr>
            <w:t>8</w:t>
          </w:r>
          <w:r>
            <w:rPr>
              <w:color w:val="666666"/>
              <w:sz w:val="17"/>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904EF" w14:textId="77777777" w:rsidR="00EA2B44" w:rsidRDefault="00EA2B44">
      <w:pPr>
        <w:spacing w:after="0" w:line="240" w:lineRule="auto"/>
      </w:pPr>
      <w:r>
        <w:separator/>
      </w:r>
    </w:p>
  </w:footnote>
  <w:footnote w:type="continuationSeparator" w:id="0">
    <w:p w14:paraId="39C0F84D" w14:textId="77777777" w:rsidR="00EA2B44" w:rsidRDefault="00EA2B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C7A7" w14:textId="77777777" w:rsidR="009968CC" w:rsidRDefault="00417439">
    <w:pPr>
      <w:pStyle w:val="Nagwek"/>
      <w:jc w:val="center"/>
    </w:pPr>
    <w:r>
      <w:rPr>
        <w:noProof/>
        <w:lang w:val="en-GB" w:eastAsia="en-GB"/>
      </w:rPr>
      <w:drawing>
        <wp:inline distT="0" distB="0" distL="0" distR="0" wp14:anchorId="044A3F93" wp14:editId="2F758FA5">
          <wp:extent cx="6048000" cy="805304"/>
          <wp:effectExtent l="0" t="0" r="0" b="0"/>
          <wp:docPr id="1" name="Picture 1" descr="Logotypy Funduszy Europejskich, Rzeczypospolitej Polskiej i Unii Europejskiej" title="Oznaczenia projektu Cyberbezpieczny Samorzą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000.jpg"/>
                  <pic:cNvPicPr/>
                </pic:nvPicPr>
                <pic:blipFill>
                  <a:blip r:embed="rId1"/>
                  <a:stretch>
                    <a:fillRect/>
                  </a:stretch>
                </pic:blipFill>
                <pic:spPr>
                  <a:xfrm>
                    <a:off x="0" y="0"/>
                    <a:ext cx="6048000" cy="8053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1820268137">
    <w:abstractNumId w:val="8"/>
  </w:num>
  <w:num w:numId="2" w16cid:durableId="660961152">
    <w:abstractNumId w:val="6"/>
  </w:num>
  <w:num w:numId="3" w16cid:durableId="38751424">
    <w:abstractNumId w:val="5"/>
  </w:num>
  <w:num w:numId="4" w16cid:durableId="1484542255">
    <w:abstractNumId w:val="4"/>
  </w:num>
  <w:num w:numId="5" w16cid:durableId="1727678412">
    <w:abstractNumId w:val="7"/>
  </w:num>
  <w:num w:numId="6" w16cid:durableId="362634415">
    <w:abstractNumId w:val="3"/>
  </w:num>
  <w:num w:numId="7" w16cid:durableId="272984896">
    <w:abstractNumId w:val="2"/>
  </w:num>
  <w:num w:numId="8" w16cid:durableId="663432351">
    <w:abstractNumId w:val="1"/>
  </w:num>
  <w:num w:numId="9" w16cid:durableId="440760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4026"/>
    <w:rsid w:val="000957D0"/>
    <w:rsid w:val="0011710A"/>
    <w:rsid w:val="0015074B"/>
    <w:rsid w:val="00266F5D"/>
    <w:rsid w:val="002701F8"/>
    <w:rsid w:val="0029639D"/>
    <w:rsid w:val="00326F90"/>
    <w:rsid w:val="00355AEE"/>
    <w:rsid w:val="00357B05"/>
    <w:rsid w:val="003E21FF"/>
    <w:rsid w:val="004172B8"/>
    <w:rsid w:val="00417439"/>
    <w:rsid w:val="0042315C"/>
    <w:rsid w:val="00507717"/>
    <w:rsid w:val="00554184"/>
    <w:rsid w:val="005771E1"/>
    <w:rsid w:val="005F2C0E"/>
    <w:rsid w:val="00621622"/>
    <w:rsid w:val="006A2122"/>
    <w:rsid w:val="00702463"/>
    <w:rsid w:val="00753555"/>
    <w:rsid w:val="007679BF"/>
    <w:rsid w:val="00771324"/>
    <w:rsid w:val="007C64E0"/>
    <w:rsid w:val="008172E5"/>
    <w:rsid w:val="008518D1"/>
    <w:rsid w:val="0085191A"/>
    <w:rsid w:val="008B76A4"/>
    <w:rsid w:val="008D2146"/>
    <w:rsid w:val="00913A0C"/>
    <w:rsid w:val="009968CC"/>
    <w:rsid w:val="00997D2B"/>
    <w:rsid w:val="009A3651"/>
    <w:rsid w:val="009C5C6E"/>
    <w:rsid w:val="00A00DB4"/>
    <w:rsid w:val="00A22ABC"/>
    <w:rsid w:val="00A32224"/>
    <w:rsid w:val="00AA1D8D"/>
    <w:rsid w:val="00B47730"/>
    <w:rsid w:val="00B70B0C"/>
    <w:rsid w:val="00B73385"/>
    <w:rsid w:val="00C76285"/>
    <w:rsid w:val="00C90F93"/>
    <w:rsid w:val="00CB0664"/>
    <w:rsid w:val="00CD2DFE"/>
    <w:rsid w:val="00CD4286"/>
    <w:rsid w:val="00CD5B7F"/>
    <w:rsid w:val="00D13A7C"/>
    <w:rsid w:val="00D33C76"/>
    <w:rsid w:val="00DD1124"/>
    <w:rsid w:val="00DF076D"/>
    <w:rsid w:val="00E13D86"/>
    <w:rsid w:val="00E57727"/>
    <w:rsid w:val="00EA2B44"/>
    <w:rsid w:val="00EC1716"/>
    <w:rsid w:val="00EC6E38"/>
    <w:rsid w:val="00F15EE1"/>
    <w:rsid w:val="00F2678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59084F"/>
  <w14:defaultImageDpi w14:val="300"/>
  <w15:docId w15:val="{88507FF5-C50B-4AB0-A82F-82E40D628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120" w:line="264" w:lineRule="auto"/>
    </w:pPr>
    <w:rPr>
      <w:rFonts w:ascii="Arial" w:hAnsi="Arial"/>
      <w:color w:val="000000"/>
      <w:sz w:val="21"/>
    </w:rPr>
  </w:style>
  <w:style w:type="paragraph" w:styleId="Nagwek1">
    <w:name w:val="heading 1"/>
    <w:basedOn w:val="Normalny"/>
    <w:next w:val="Normalny"/>
    <w:link w:val="Nagwek1Znak"/>
    <w:uiPriority w:val="9"/>
    <w:qFormat/>
    <w:rsid w:val="00FC693F"/>
    <w:pPr>
      <w:keepNext/>
      <w:keepLines/>
      <w:spacing w:before="240"/>
      <w:outlineLvl w:val="0"/>
    </w:pPr>
    <w:rPr>
      <w:rFonts w:asciiTheme="majorHAnsi" w:eastAsiaTheme="majorEastAsia" w:hAnsiTheme="majorHAnsi" w:cstheme="majorBidi"/>
      <w:b/>
      <w:bCs/>
      <w:sz w:val="26"/>
      <w:szCs w:val="28"/>
    </w:rPr>
  </w:style>
  <w:style w:type="paragraph" w:styleId="Nagwek2">
    <w:name w:val="heading 2"/>
    <w:basedOn w:val="Normalny"/>
    <w:next w:val="Normalny"/>
    <w:link w:val="Nagwek2Znak"/>
    <w:uiPriority w:val="9"/>
    <w:unhideWhenUsed/>
    <w:qFormat/>
    <w:rsid w:val="00FC693F"/>
    <w:pPr>
      <w:keepNext/>
      <w:keepLines/>
      <w:spacing w:before="160" w:after="80"/>
      <w:outlineLvl w:val="1"/>
    </w:pPr>
    <w:rPr>
      <w:rFonts w:asciiTheme="majorHAnsi" w:eastAsiaTheme="majorEastAsia" w:hAnsiTheme="majorHAnsi" w:cstheme="majorBidi"/>
      <w:b/>
      <w:bCs/>
      <w:sz w:val="23"/>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ind w:left="360"/>
      <w:contextualSpacing/>
    </w:pPr>
  </w:style>
  <w:style w:type="paragraph" w:styleId="Lista-kontynuacja2">
    <w:name w:val="List Continue 2"/>
    <w:basedOn w:val="Normalny"/>
    <w:uiPriority w:val="99"/>
    <w:unhideWhenUsed/>
    <w:rsid w:val="0029639D"/>
    <w:pPr>
      <w:ind w:left="720"/>
      <w:contextualSpacing/>
    </w:pPr>
  </w:style>
  <w:style w:type="paragraph" w:styleId="Lista-kontynuacja3">
    <w:name w:val="List Continue 3"/>
    <w:basedOn w:val="Normalny"/>
    <w:uiPriority w:val="99"/>
    <w:unhideWhenUsed/>
    <w:rsid w:val="0029639D"/>
    <w:pPr>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kapitzlist1">
    <w:name w:val="Akapit z listą1"/>
    <w:basedOn w:val="Normalny"/>
    <w:rsid w:val="00074026"/>
    <w:pPr>
      <w:widowControl w:val="0"/>
      <w:suppressAutoHyphens/>
      <w:spacing w:after="200" w:line="276" w:lineRule="auto"/>
      <w:ind w:left="720"/>
    </w:pPr>
    <w:rPr>
      <w:rFonts w:ascii="Times New Roman" w:eastAsia="SimSun" w:hAnsi="Times New Roman" w:cs="Arial"/>
      <w:color w:val="auto"/>
      <w:kern w:val="1"/>
      <w:sz w:val="24"/>
      <w:szCs w:val="24"/>
      <w:lang w:val="pl-PL" w:eastAsia="hi-IN" w:bidi="hi-IN"/>
    </w:rPr>
  </w:style>
  <w:style w:type="paragraph" w:customStyle="1" w:styleId="NormalnyWeb1">
    <w:name w:val="Normalny (Web)1"/>
    <w:basedOn w:val="Normalny"/>
    <w:rsid w:val="00074026"/>
    <w:pPr>
      <w:widowControl w:val="0"/>
      <w:suppressAutoHyphens/>
      <w:spacing w:before="100" w:after="100" w:line="100" w:lineRule="atLeast"/>
    </w:pPr>
    <w:rPr>
      <w:rFonts w:ascii="Times New Roman" w:eastAsia="Times New Roman" w:hAnsi="Times New Roman" w:cs="Times New Roman"/>
      <w:color w:val="auto"/>
      <w:kern w:val="1"/>
      <w:sz w:val="24"/>
      <w:szCs w:val="24"/>
      <w:lang w:val="pl-PL"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BA76F-6DE2-4215-A679-D09A726B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1509</Words>
  <Characters>9054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 - Cyberbezpieczny Samorząd - zadania 1-6</dc:title>
  <dc:subject>Sprzedaż i dostawa sprzętu dla Starostwa Powiatowego w Skarżysku-Kamiennej</dc:subject>
  <dc:creator>Starostwo Powiatowe w Skarżysku-Kamiennej</dc:creator>
  <cp:keywords/>
  <dc:description>generated by python-docx</dc:description>
  <cp:lastModifiedBy>Łukasz Krawiecki</cp:lastModifiedBy>
  <cp:revision>6</cp:revision>
  <cp:lastPrinted>2026-08-12T11:09:00Z</cp:lastPrinted>
  <dcterms:created xsi:type="dcterms:W3CDTF">2026-08-11T12:24:00Z</dcterms:created>
  <dcterms:modified xsi:type="dcterms:W3CDTF">2026-08-13T10:14:00Z</dcterms:modified>
  <cp:category/>
</cp:coreProperties>
</file>